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52C698F9" w:rsidR="00807C36" w:rsidRPr="00B64EAD" w:rsidRDefault="001D4B6B" w:rsidP="001D4B6B">
      <w:pPr>
        <w:pStyle w:val="ProductList-Body"/>
        <w:tabs>
          <w:tab w:val="clear" w:pos="360"/>
          <w:tab w:val="clear" w:pos="720"/>
          <w:tab w:val="clear" w:pos="1080"/>
        </w:tabs>
        <w:ind w:left="360"/>
        <w:rPr>
          <w:rFonts w:asciiTheme="majorHAnsi" w:hAnsiTheme="majorHAnsi"/>
          <w:color w:val="FFFFFF" w:themeColor="background1"/>
          <w:sz w:val="6"/>
          <w:szCs w:val="6"/>
        </w:rPr>
      </w:pPr>
      <w:permStart w:id="1943942323" w:edGrp="everyone"/>
      <w:r>
        <w:rPr>
          <w:noProof/>
          <w:szCs w:val="18"/>
          <w:lang w:val="en-US" w:eastAsia="zh-CN" w:bidi="ar-SA"/>
        </w:rPr>
        <w:drawing>
          <wp:anchor distT="0" distB="0" distL="114300" distR="114300" simplePos="0" relativeHeight="251658240" behindDoc="1" locked="0" layoutInCell="1" allowOverlap="1" wp14:anchorId="01B3DF24" wp14:editId="19EE7060">
            <wp:simplePos x="0" y="0"/>
            <wp:positionH relativeFrom="page">
              <wp:posOffset>324279</wp:posOffset>
            </wp:positionH>
            <wp:positionV relativeFrom="paragraph">
              <wp:posOffset>-95250</wp:posOffset>
            </wp:positionV>
            <wp:extent cx="6202018" cy="566102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092" t="8223" r="18561" b="35465"/>
                    <a:stretch/>
                  </pic:blipFill>
                  <pic:spPr bwMode="auto">
                    <a:xfrm>
                      <a:off x="0" y="0"/>
                      <a:ext cx="6202018" cy="566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943942323"/>
    </w:p>
    <w:p w14:paraId="245C5C1C" w14:textId="14FC1CEA" w:rsidR="00807C36" w:rsidRPr="002A002F" w:rsidRDefault="00807C36" w:rsidP="001D4B6B">
      <w:pPr>
        <w:pStyle w:val="ProductList-Body"/>
        <w:tabs>
          <w:tab w:val="clear" w:pos="360"/>
          <w:tab w:val="clear" w:pos="720"/>
          <w:tab w:val="clear" w:pos="1080"/>
        </w:tabs>
        <w:ind w:left="360" w:right="8064"/>
        <w:jc w:val="both"/>
        <w:rPr>
          <w:rFonts w:asciiTheme="majorHAnsi" w:hAnsiTheme="majorHAnsi"/>
          <w:color w:val="FFFFFF" w:themeColor="background1"/>
          <w:spacing w:val="-4"/>
          <w:sz w:val="32"/>
          <w:szCs w:val="32"/>
        </w:rPr>
      </w:pPr>
      <w:bookmarkStart w:id="0" w:name="CoverPage"/>
      <w:r w:rsidRPr="002A002F">
        <w:rPr>
          <w:rFonts w:asciiTheme="majorHAnsi" w:hAnsiTheme="majorHAnsi"/>
          <w:color w:val="FFFFFF" w:themeColor="background1"/>
          <w:spacing w:val="-4"/>
          <w:sz w:val="32"/>
          <w:szCs w:val="32"/>
        </w:rPr>
        <w:t xml:space="preserve">Licenciamento </w:t>
      </w:r>
      <w:bookmarkEnd w:id="0"/>
      <w:r w:rsidR="002A002F">
        <w:rPr>
          <w:rFonts w:asciiTheme="majorHAnsi" w:hAnsiTheme="majorHAnsi"/>
          <w:color w:val="FFFFFF" w:themeColor="background1"/>
          <w:spacing w:val="-4"/>
          <w:sz w:val="32"/>
          <w:szCs w:val="32"/>
        </w:rPr>
        <w:br/>
      </w:r>
      <w:r w:rsidRPr="002A002F">
        <w:rPr>
          <w:rFonts w:asciiTheme="majorHAnsi" w:hAnsiTheme="majorHAnsi"/>
          <w:color w:val="FFFFFF" w:themeColor="background1"/>
          <w:spacing w:val="-4"/>
          <w:sz w:val="32"/>
          <w:szCs w:val="32"/>
        </w:rPr>
        <w:t>em Volume</w:t>
      </w:r>
    </w:p>
    <w:p w14:paraId="06465CAA" w14:textId="04719F15" w:rsidR="00807C36" w:rsidRPr="00EF7CF9" w:rsidRDefault="00807C36" w:rsidP="001D4B6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1D4B6B">
      <w:pPr>
        <w:pStyle w:val="ProductList-Body"/>
        <w:tabs>
          <w:tab w:val="clear" w:pos="360"/>
          <w:tab w:val="clear" w:pos="720"/>
          <w:tab w:val="clear" w:pos="1080"/>
        </w:tabs>
        <w:ind w:left="360" w:right="2241"/>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os Serviços Online da Microsoft</w:t>
      </w:r>
    </w:p>
    <w:p w14:paraId="791F7AAF" w14:textId="59F987F3" w:rsidR="002A586E" w:rsidRPr="00EF7CF9" w:rsidRDefault="00126DC2" w:rsidP="001D4B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de </w:t>
      </w:r>
      <w:r w:rsidR="00057D38">
        <w:rPr>
          <w:rFonts w:ascii="Calibri Light" w:hAnsi="Calibri Light" w:cs="Calibri Light"/>
          <w:color w:val="FFFFFF" w:themeColor="background1"/>
          <w:sz w:val="72"/>
          <w:szCs w:val="72"/>
        </w:rPr>
        <w:t>novembro</w:t>
      </w:r>
      <w:r w:rsidR="006E320D" w:rsidRPr="0070603B">
        <w:rPr>
          <w:rFonts w:ascii="Calibri Light" w:hAnsi="Calibri Light" w:cs="Calibri Light"/>
          <w:color w:val="FFFFFF" w:themeColor="background1"/>
          <w:sz w:val="72"/>
          <w:szCs w:val="72"/>
        </w:rPr>
        <w:t xml:space="preserve"> de 2024</w:t>
      </w:r>
    </w:p>
    <w:p w14:paraId="07F7DEEF" w14:textId="3FEB413B"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8B1CA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B1CA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Índice"/>
      <w:bookmarkStart w:id="6" w:name="_Toc182409573"/>
      <w:r>
        <w:lastRenderedPageBreak/>
        <w:t>Índice</w:t>
      </w:r>
      <w:bookmarkEnd w:id="1"/>
      <w:bookmarkEnd w:id="2"/>
      <w:bookmarkEnd w:id="3"/>
      <w:bookmarkEnd w:id="4"/>
      <w:bookmarkEnd w:id="5"/>
      <w:bookmarkEnd w:id="6"/>
    </w:p>
    <w:p w14:paraId="08105D4E" w14:textId="10FA7A66" w:rsidR="006D5705"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2409573" w:history="1">
        <w:r w:rsidR="006D5705" w:rsidRPr="00BA2351">
          <w:rPr>
            <w:rStyle w:val="Hyperlink"/>
            <w:noProof/>
          </w:rPr>
          <w:t>Índice</w:t>
        </w:r>
        <w:r w:rsidR="006D5705">
          <w:rPr>
            <w:noProof/>
            <w:webHidden/>
          </w:rPr>
          <w:tab/>
        </w:r>
        <w:r w:rsidR="006D5705">
          <w:rPr>
            <w:noProof/>
            <w:webHidden/>
          </w:rPr>
          <w:fldChar w:fldCharType="begin"/>
        </w:r>
        <w:r w:rsidR="006D5705">
          <w:rPr>
            <w:noProof/>
            <w:webHidden/>
          </w:rPr>
          <w:instrText xml:space="preserve"> PAGEREF _Toc182409573 \h </w:instrText>
        </w:r>
        <w:r w:rsidR="006D5705">
          <w:rPr>
            <w:noProof/>
            <w:webHidden/>
          </w:rPr>
        </w:r>
        <w:r w:rsidR="006D5705">
          <w:rPr>
            <w:noProof/>
            <w:webHidden/>
          </w:rPr>
          <w:fldChar w:fldCharType="separate"/>
        </w:r>
        <w:r w:rsidR="006D5705">
          <w:rPr>
            <w:noProof/>
            <w:webHidden/>
          </w:rPr>
          <w:t>2</w:t>
        </w:r>
        <w:r w:rsidR="006D5705">
          <w:rPr>
            <w:noProof/>
            <w:webHidden/>
          </w:rPr>
          <w:fldChar w:fldCharType="end"/>
        </w:r>
      </w:hyperlink>
    </w:p>
    <w:p w14:paraId="76D84157" w14:textId="0F9C043E" w:rsidR="006D5705" w:rsidRDefault="006D5705">
      <w:pPr>
        <w:pStyle w:val="TOC1"/>
        <w:rPr>
          <w:rFonts w:eastAsiaTheme="minorEastAsia"/>
          <w:b w:val="0"/>
          <w:caps w:val="0"/>
          <w:noProof/>
          <w:kern w:val="2"/>
          <w:sz w:val="24"/>
          <w:szCs w:val="24"/>
          <w:lang w:val="en-US" w:eastAsia="en-US" w:bidi="ar-SA"/>
          <w14:ligatures w14:val="standardContextual"/>
        </w:rPr>
      </w:pPr>
      <w:hyperlink w:anchor="_Toc182409574" w:history="1">
        <w:r w:rsidRPr="00BA2351">
          <w:rPr>
            <w:rStyle w:val="Hyperlink"/>
            <w:noProof/>
          </w:rPr>
          <w:t>Introdução</w:t>
        </w:r>
        <w:r>
          <w:rPr>
            <w:noProof/>
            <w:webHidden/>
          </w:rPr>
          <w:tab/>
        </w:r>
        <w:r>
          <w:rPr>
            <w:noProof/>
            <w:webHidden/>
          </w:rPr>
          <w:fldChar w:fldCharType="begin"/>
        </w:r>
        <w:r>
          <w:rPr>
            <w:noProof/>
            <w:webHidden/>
          </w:rPr>
          <w:instrText xml:space="preserve"> PAGEREF _Toc182409574 \h </w:instrText>
        </w:r>
        <w:r>
          <w:rPr>
            <w:noProof/>
            <w:webHidden/>
          </w:rPr>
        </w:r>
        <w:r>
          <w:rPr>
            <w:noProof/>
            <w:webHidden/>
          </w:rPr>
          <w:fldChar w:fldCharType="separate"/>
        </w:r>
        <w:r>
          <w:rPr>
            <w:noProof/>
            <w:webHidden/>
          </w:rPr>
          <w:t>4</w:t>
        </w:r>
        <w:r>
          <w:rPr>
            <w:noProof/>
            <w:webHidden/>
          </w:rPr>
          <w:fldChar w:fldCharType="end"/>
        </w:r>
      </w:hyperlink>
    </w:p>
    <w:p w14:paraId="614F95CC" w14:textId="6F9CA9BD" w:rsidR="006D5705" w:rsidRDefault="006D5705">
      <w:pPr>
        <w:pStyle w:val="TOC1"/>
        <w:rPr>
          <w:rFonts w:eastAsiaTheme="minorEastAsia"/>
          <w:b w:val="0"/>
          <w:caps w:val="0"/>
          <w:noProof/>
          <w:kern w:val="2"/>
          <w:sz w:val="24"/>
          <w:szCs w:val="24"/>
          <w:lang w:val="en-US" w:eastAsia="en-US" w:bidi="ar-SA"/>
          <w14:ligatures w14:val="standardContextual"/>
        </w:rPr>
      </w:pPr>
      <w:hyperlink w:anchor="_Toc182409575" w:history="1">
        <w:r w:rsidRPr="00BA2351">
          <w:rPr>
            <w:rStyle w:val="Hyperlink"/>
            <w:noProof/>
          </w:rPr>
          <w:t>Termos Gerais</w:t>
        </w:r>
        <w:r>
          <w:rPr>
            <w:noProof/>
            <w:webHidden/>
          </w:rPr>
          <w:tab/>
        </w:r>
        <w:r>
          <w:rPr>
            <w:noProof/>
            <w:webHidden/>
          </w:rPr>
          <w:fldChar w:fldCharType="begin"/>
        </w:r>
        <w:r>
          <w:rPr>
            <w:noProof/>
            <w:webHidden/>
          </w:rPr>
          <w:instrText xml:space="preserve"> PAGEREF _Toc182409575 \h </w:instrText>
        </w:r>
        <w:r>
          <w:rPr>
            <w:noProof/>
            <w:webHidden/>
          </w:rPr>
        </w:r>
        <w:r>
          <w:rPr>
            <w:noProof/>
            <w:webHidden/>
          </w:rPr>
          <w:fldChar w:fldCharType="separate"/>
        </w:r>
        <w:r>
          <w:rPr>
            <w:noProof/>
            <w:webHidden/>
          </w:rPr>
          <w:t>5</w:t>
        </w:r>
        <w:r>
          <w:rPr>
            <w:noProof/>
            <w:webHidden/>
          </w:rPr>
          <w:fldChar w:fldCharType="end"/>
        </w:r>
      </w:hyperlink>
    </w:p>
    <w:p w14:paraId="4532A23A" w14:textId="054C3B28" w:rsidR="006D5705" w:rsidRDefault="006D5705">
      <w:pPr>
        <w:pStyle w:val="TOC1"/>
        <w:rPr>
          <w:rFonts w:eastAsiaTheme="minorEastAsia"/>
          <w:b w:val="0"/>
          <w:caps w:val="0"/>
          <w:noProof/>
          <w:kern w:val="2"/>
          <w:sz w:val="24"/>
          <w:szCs w:val="24"/>
          <w:lang w:val="en-US" w:eastAsia="en-US" w:bidi="ar-SA"/>
          <w14:ligatures w14:val="standardContextual"/>
        </w:rPr>
      </w:pPr>
      <w:hyperlink w:anchor="_Toc182409576" w:history="1">
        <w:r w:rsidRPr="00BA2351">
          <w:rPr>
            <w:rStyle w:val="Hyperlink"/>
            <w:noProof/>
          </w:rPr>
          <w:t>Termos Específicos do Serviço</w:t>
        </w:r>
        <w:r>
          <w:rPr>
            <w:noProof/>
            <w:webHidden/>
          </w:rPr>
          <w:tab/>
        </w:r>
        <w:r>
          <w:rPr>
            <w:noProof/>
            <w:webHidden/>
          </w:rPr>
          <w:fldChar w:fldCharType="begin"/>
        </w:r>
        <w:r>
          <w:rPr>
            <w:noProof/>
            <w:webHidden/>
          </w:rPr>
          <w:instrText xml:space="preserve"> PAGEREF _Toc182409576 \h </w:instrText>
        </w:r>
        <w:r>
          <w:rPr>
            <w:noProof/>
            <w:webHidden/>
          </w:rPr>
        </w:r>
        <w:r>
          <w:rPr>
            <w:noProof/>
            <w:webHidden/>
          </w:rPr>
          <w:fldChar w:fldCharType="separate"/>
        </w:r>
        <w:r>
          <w:rPr>
            <w:noProof/>
            <w:webHidden/>
          </w:rPr>
          <w:t>7</w:t>
        </w:r>
        <w:r>
          <w:rPr>
            <w:noProof/>
            <w:webHidden/>
          </w:rPr>
          <w:fldChar w:fldCharType="end"/>
        </w:r>
      </w:hyperlink>
    </w:p>
    <w:p w14:paraId="42867339" w14:textId="75EA0403" w:rsidR="006D5705" w:rsidRDefault="006D570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409577" w:history="1">
        <w:r w:rsidRPr="00BA2351">
          <w:rPr>
            <w:rStyle w:val="Hyperlink"/>
            <w:noProof/>
          </w:rPr>
          <w:t>Microsoft Dynamics 365</w:t>
        </w:r>
        <w:r>
          <w:rPr>
            <w:noProof/>
            <w:webHidden/>
          </w:rPr>
          <w:tab/>
        </w:r>
        <w:r>
          <w:rPr>
            <w:noProof/>
            <w:webHidden/>
          </w:rPr>
          <w:fldChar w:fldCharType="begin"/>
        </w:r>
        <w:r>
          <w:rPr>
            <w:noProof/>
            <w:webHidden/>
          </w:rPr>
          <w:instrText xml:space="preserve"> PAGEREF _Toc182409577 \h </w:instrText>
        </w:r>
        <w:r>
          <w:rPr>
            <w:noProof/>
            <w:webHidden/>
          </w:rPr>
        </w:r>
        <w:r>
          <w:rPr>
            <w:noProof/>
            <w:webHidden/>
          </w:rPr>
          <w:fldChar w:fldCharType="separate"/>
        </w:r>
        <w:r>
          <w:rPr>
            <w:noProof/>
            <w:webHidden/>
          </w:rPr>
          <w:t>7</w:t>
        </w:r>
        <w:r>
          <w:rPr>
            <w:noProof/>
            <w:webHidden/>
          </w:rPr>
          <w:fldChar w:fldCharType="end"/>
        </w:r>
      </w:hyperlink>
    </w:p>
    <w:p w14:paraId="3AFF179E" w14:textId="316D3585" w:rsidR="006D5705" w:rsidRDefault="006D5705">
      <w:pPr>
        <w:pStyle w:val="TOC4"/>
        <w:rPr>
          <w:rFonts w:eastAsiaTheme="minorEastAsia"/>
          <w:smallCaps w:val="0"/>
          <w:noProof/>
          <w:kern w:val="2"/>
          <w:sz w:val="24"/>
          <w:szCs w:val="24"/>
          <w:lang w:val="en-US" w:eastAsia="en-US" w:bidi="ar-SA"/>
          <w14:ligatures w14:val="standardContextual"/>
        </w:rPr>
      </w:pPr>
      <w:hyperlink w:anchor="_Toc182409578" w:history="1">
        <w:r w:rsidRPr="00BA2351">
          <w:rPr>
            <w:rStyle w:val="Hyperlink"/>
            <w:noProof/>
          </w:rPr>
          <w:t>Dynamics 365 Business Central</w:t>
        </w:r>
        <w:r>
          <w:rPr>
            <w:noProof/>
            <w:webHidden/>
          </w:rPr>
          <w:tab/>
        </w:r>
        <w:r>
          <w:rPr>
            <w:noProof/>
            <w:webHidden/>
          </w:rPr>
          <w:fldChar w:fldCharType="begin"/>
        </w:r>
        <w:r>
          <w:rPr>
            <w:noProof/>
            <w:webHidden/>
          </w:rPr>
          <w:instrText xml:space="preserve"> PAGEREF _Toc182409578 \h </w:instrText>
        </w:r>
        <w:r>
          <w:rPr>
            <w:noProof/>
            <w:webHidden/>
          </w:rPr>
        </w:r>
        <w:r>
          <w:rPr>
            <w:noProof/>
            <w:webHidden/>
          </w:rPr>
          <w:fldChar w:fldCharType="separate"/>
        </w:r>
        <w:r>
          <w:rPr>
            <w:noProof/>
            <w:webHidden/>
          </w:rPr>
          <w:t>7</w:t>
        </w:r>
        <w:r>
          <w:rPr>
            <w:noProof/>
            <w:webHidden/>
          </w:rPr>
          <w:fldChar w:fldCharType="end"/>
        </w:r>
      </w:hyperlink>
    </w:p>
    <w:p w14:paraId="6739CDEE" w14:textId="2511270F" w:rsidR="006D5705" w:rsidRDefault="006D5705">
      <w:pPr>
        <w:pStyle w:val="TOC4"/>
        <w:rPr>
          <w:rFonts w:eastAsiaTheme="minorEastAsia"/>
          <w:smallCaps w:val="0"/>
          <w:noProof/>
          <w:kern w:val="2"/>
          <w:sz w:val="24"/>
          <w:szCs w:val="24"/>
          <w:lang w:val="en-US" w:eastAsia="en-US" w:bidi="ar-SA"/>
          <w14:ligatures w14:val="standardContextual"/>
        </w:rPr>
      </w:pPr>
      <w:hyperlink w:anchor="_Toc182409579" w:history="1">
        <w:r w:rsidRPr="00BA2351">
          <w:rPr>
            <w:rStyle w:val="Hyperlink"/>
            <w:noProof/>
          </w:rPr>
          <w:t>Dynamics 365 Commerce</w:t>
        </w:r>
        <w:r>
          <w:rPr>
            <w:noProof/>
            <w:webHidden/>
          </w:rPr>
          <w:tab/>
        </w:r>
        <w:r>
          <w:rPr>
            <w:noProof/>
            <w:webHidden/>
          </w:rPr>
          <w:fldChar w:fldCharType="begin"/>
        </w:r>
        <w:r>
          <w:rPr>
            <w:noProof/>
            <w:webHidden/>
          </w:rPr>
          <w:instrText xml:space="preserve"> PAGEREF _Toc182409579 \h </w:instrText>
        </w:r>
        <w:r>
          <w:rPr>
            <w:noProof/>
            <w:webHidden/>
          </w:rPr>
        </w:r>
        <w:r>
          <w:rPr>
            <w:noProof/>
            <w:webHidden/>
          </w:rPr>
          <w:fldChar w:fldCharType="separate"/>
        </w:r>
        <w:r>
          <w:rPr>
            <w:noProof/>
            <w:webHidden/>
          </w:rPr>
          <w:t>7</w:t>
        </w:r>
        <w:r>
          <w:rPr>
            <w:noProof/>
            <w:webHidden/>
          </w:rPr>
          <w:fldChar w:fldCharType="end"/>
        </w:r>
      </w:hyperlink>
    </w:p>
    <w:p w14:paraId="2F9E12E1" w14:textId="3647E0D3" w:rsidR="006D5705" w:rsidRDefault="006D5705">
      <w:pPr>
        <w:pStyle w:val="TOC4"/>
        <w:rPr>
          <w:rFonts w:eastAsiaTheme="minorEastAsia"/>
          <w:smallCaps w:val="0"/>
          <w:noProof/>
          <w:kern w:val="2"/>
          <w:sz w:val="24"/>
          <w:szCs w:val="24"/>
          <w:lang w:val="en-US" w:eastAsia="en-US" w:bidi="ar-SA"/>
          <w14:ligatures w14:val="standardContextual"/>
        </w:rPr>
      </w:pPr>
      <w:hyperlink w:anchor="_Toc182409580" w:history="1">
        <w:r w:rsidRPr="00BA2351">
          <w:rPr>
            <w:rStyle w:val="Hyperlink"/>
            <w:noProof/>
          </w:rPr>
          <w:t>Dynamics 365 Customer Insights</w:t>
        </w:r>
        <w:r>
          <w:rPr>
            <w:noProof/>
            <w:webHidden/>
          </w:rPr>
          <w:tab/>
        </w:r>
        <w:r>
          <w:rPr>
            <w:noProof/>
            <w:webHidden/>
          </w:rPr>
          <w:fldChar w:fldCharType="begin"/>
        </w:r>
        <w:r>
          <w:rPr>
            <w:noProof/>
            <w:webHidden/>
          </w:rPr>
          <w:instrText xml:space="preserve"> PAGEREF _Toc182409580 \h </w:instrText>
        </w:r>
        <w:r>
          <w:rPr>
            <w:noProof/>
            <w:webHidden/>
          </w:rPr>
        </w:r>
        <w:r>
          <w:rPr>
            <w:noProof/>
            <w:webHidden/>
          </w:rPr>
          <w:fldChar w:fldCharType="separate"/>
        </w:r>
        <w:r>
          <w:rPr>
            <w:noProof/>
            <w:webHidden/>
          </w:rPr>
          <w:t>8</w:t>
        </w:r>
        <w:r>
          <w:rPr>
            <w:noProof/>
            <w:webHidden/>
          </w:rPr>
          <w:fldChar w:fldCharType="end"/>
        </w:r>
      </w:hyperlink>
    </w:p>
    <w:p w14:paraId="5E471F66" w14:textId="17842C35" w:rsidR="006D5705" w:rsidRDefault="006D5705">
      <w:pPr>
        <w:pStyle w:val="TOC4"/>
        <w:rPr>
          <w:rFonts w:eastAsiaTheme="minorEastAsia"/>
          <w:smallCaps w:val="0"/>
          <w:noProof/>
          <w:kern w:val="2"/>
          <w:sz w:val="24"/>
          <w:szCs w:val="24"/>
          <w:lang w:val="en-US" w:eastAsia="en-US" w:bidi="ar-SA"/>
          <w14:ligatures w14:val="standardContextual"/>
        </w:rPr>
      </w:pPr>
      <w:hyperlink w:anchor="_Toc182409581" w:history="1">
        <w:r w:rsidRPr="00BA2351">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_Toc182409581 \h </w:instrText>
        </w:r>
        <w:r>
          <w:rPr>
            <w:noProof/>
            <w:webHidden/>
          </w:rPr>
        </w:r>
        <w:r>
          <w:rPr>
            <w:noProof/>
            <w:webHidden/>
          </w:rPr>
          <w:fldChar w:fldCharType="separate"/>
        </w:r>
        <w:r>
          <w:rPr>
            <w:noProof/>
            <w:webHidden/>
          </w:rPr>
          <w:t>8</w:t>
        </w:r>
        <w:r>
          <w:rPr>
            <w:noProof/>
            <w:webHidden/>
          </w:rPr>
          <w:fldChar w:fldCharType="end"/>
        </w:r>
      </w:hyperlink>
    </w:p>
    <w:p w14:paraId="698C67D7" w14:textId="31A9B890" w:rsidR="006D5705" w:rsidRDefault="006D5705">
      <w:pPr>
        <w:pStyle w:val="TOC4"/>
        <w:rPr>
          <w:rFonts w:eastAsiaTheme="minorEastAsia"/>
          <w:smallCaps w:val="0"/>
          <w:noProof/>
          <w:kern w:val="2"/>
          <w:sz w:val="24"/>
          <w:szCs w:val="24"/>
          <w:lang w:val="en-US" w:eastAsia="en-US" w:bidi="ar-SA"/>
          <w14:ligatures w14:val="standardContextual"/>
        </w:rPr>
      </w:pPr>
      <w:hyperlink w:anchor="_Toc182409582" w:history="1">
        <w:r w:rsidRPr="00BA2351">
          <w:rPr>
            <w:rStyle w:val="Hyperlink"/>
            <w:noProof/>
          </w:rPr>
          <w:t>Dynamics 365 Fraud Protection</w:t>
        </w:r>
        <w:r>
          <w:rPr>
            <w:noProof/>
            <w:webHidden/>
          </w:rPr>
          <w:tab/>
        </w:r>
        <w:r>
          <w:rPr>
            <w:noProof/>
            <w:webHidden/>
          </w:rPr>
          <w:fldChar w:fldCharType="begin"/>
        </w:r>
        <w:r>
          <w:rPr>
            <w:noProof/>
            <w:webHidden/>
          </w:rPr>
          <w:instrText xml:space="preserve"> PAGEREF _Toc182409582 \h </w:instrText>
        </w:r>
        <w:r>
          <w:rPr>
            <w:noProof/>
            <w:webHidden/>
          </w:rPr>
        </w:r>
        <w:r>
          <w:rPr>
            <w:noProof/>
            <w:webHidden/>
          </w:rPr>
          <w:fldChar w:fldCharType="separate"/>
        </w:r>
        <w:r>
          <w:rPr>
            <w:noProof/>
            <w:webHidden/>
          </w:rPr>
          <w:t>9</w:t>
        </w:r>
        <w:r>
          <w:rPr>
            <w:noProof/>
            <w:webHidden/>
          </w:rPr>
          <w:fldChar w:fldCharType="end"/>
        </w:r>
      </w:hyperlink>
    </w:p>
    <w:p w14:paraId="4A789080" w14:textId="7A8B18BD" w:rsidR="006D5705" w:rsidRDefault="006D5705">
      <w:pPr>
        <w:pStyle w:val="TOC4"/>
        <w:rPr>
          <w:rFonts w:eastAsiaTheme="minorEastAsia"/>
          <w:smallCaps w:val="0"/>
          <w:noProof/>
          <w:kern w:val="2"/>
          <w:sz w:val="24"/>
          <w:szCs w:val="24"/>
          <w:lang w:val="en-US" w:eastAsia="en-US" w:bidi="ar-SA"/>
          <w14:ligatures w14:val="standardContextual"/>
        </w:rPr>
      </w:pPr>
      <w:hyperlink w:anchor="_Toc182409583" w:history="1">
        <w:r w:rsidRPr="00BA2351">
          <w:rPr>
            <w:rStyle w:val="Hyperlink"/>
            <w:noProof/>
          </w:rPr>
          <w:t>Guias do Dynamics 365</w:t>
        </w:r>
        <w:r>
          <w:rPr>
            <w:noProof/>
            <w:webHidden/>
          </w:rPr>
          <w:tab/>
        </w:r>
        <w:r>
          <w:rPr>
            <w:noProof/>
            <w:webHidden/>
          </w:rPr>
          <w:fldChar w:fldCharType="begin"/>
        </w:r>
        <w:r>
          <w:rPr>
            <w:noProof/>
            <w:webHidden/>
          </w:rPr>
          <w:instrText xml:space="preserve"> PAGEREF _Toc182409583 \h </w:instrText>
        </w:r>
        <w:r>
          <w:rPr>
            <w:noProof/>
            <w:webHidden/>
          </w:rPr>
        </w:r>
        <w:r>
          <w:rPr>
            <w:noProof/>
            <w:webHidden/>
          </w:rPr>
          <w:fldChar w:fldCharType="separate"/>
        </w:r>
        <w:r>
          <w:rPr>
            <w:noProof/>
            <w:webHidden/>
          </w:rPr>
          <w:t>9</w:t>
        </w:r>
        <w:r>
          <w:rPr>
            <w:noProof/>
            <w:webHidden/>
          </w:rPr>
          <w:fldChar w:fldCharType="end"/>
        </w:r>
      </w:hyperlink>
    </w:p>
    <w:p w14:paraId="0E4C5FD6" w14:textId="34F84597" w:rsidR="006D5705" w:rsidRDefault="006D5705">
      <w:pPr>
        <w:pStyle w:val="TOC4"/>
        <w:rPr>
          <w:rFonts w:eastAsiaTheme="minorEastAsia"/>
          <w:smallCaps w:val="0"/>
          <w:noProof/>
          <w:kern w:val="2"/>
          <w:sz w:val="24"/>
          <w:szCs w:val="24"/>
          <w:lang w:val="en-US" w:eastAsia="en-US" w:bidi="ar-SA"/>
          <w14:ligatures w14:val="standardContextual"/>
        </w:rPr>
      </w:pPr>
      <w:hyperlink w:anchor="_Toc182409584" w:history="1">
        <w:r w:rsidRPr="00BA2351">
          <w:rPr>
            <w:rStyle w:val="Hyperlink"/>
            <w:noProof/>
          </w:rPr>
          <w:t>Dynamics 365 Human Resources</w:t>
        </w:r>
        <w:r>
          <w:rPr>
            <w:noProof/>
            <w:webHidden/>
          </w:rPr>
          <w:tab/>
        </w:r>
        <w:r>
          <w:rPr>
            <w:noProof/>
            <w:webHidden/>
          </w:rPr>
          <w:fldChar w:fldCharType="begin"/>
        </w:r>
        <w:r>
          <w:rPr>
            <w:noProof/>
            <w:webHidden/>
          </w:rPr>
          <w:instrText xml:space="preserve"> PAGEREF _Toc182409584 \h </w:instrText>
        </w:r>
        <w:r>
          <w:rPr>
            <w:noProof/>
            <w:webHidden/>
          </w:rPr>
        </w:r>
        <w:r>
          <w:rPr>
            <w:noProof/>
            <w:webHidden/>
          </w:rPr>
          <w:fldChar w:fldCharType="separate"/>
        </w:r>
        <w:r>
          <w:rPr>
            <w:noProof/>
            <w:webHidden/>
          </w:rPr>
          <w:t>9</w:t>
        </w:r>
        <w:r>
          <w:rPr>
            <w:noProof/>
            <w:webHidden/>
          </w:rPr>
          <w:fldChar w:fldCharType="end"/>
        </w:r>
      </w:hyperlink>
    </w:p>
    <w:p w14:paraId="23054659" w14:textId="54AC4198" w:rsidR="006D5705" w:rsidRDefault="006D5705">
      <w:pPr>
        <w:pStyle w:val="TOC4"/>
        <w:rPr>
          <w:rFonts w:eastAsiaTheme="minorEastAsia"/>
          <w:smallCaps w:val="0"/>
          <w:noProof/>
          <w:kern w:val="2"/>
          <w:sz w:val="24"/>
          <w:szCs w:val="24"/>
          <w:lang w:val="en-US" w:eastAsia="en-US" w:bidi="ar-SA"/>
          <w14:ligatures w14:val="standardContextual"/>
        </w:rPr>
      </w:pPr>
      <w:hyperlink w:anchor="_Toc182409585" w:history="1">
        <w:r w:rsidRPr="00BA2351">
          <w:rPr>
            <w:rStyle w:val="Hyperlink"/>
            <w:noProof/>
          </w:rPr>
          <w:t>Dynamics 365 Intelligent Order Management</w:t>
        </w:r>
        <w:r>
          <w:rPr>
            <w:noProof/>
            <w:webHidden/>
          </w:rPr>
          <w:tab/>
        </w:r>
        <w:r>
          <w:rPr>
            <w:noProof/>
            <w:webHidden/>
          </w:rPr>
          <w:fldChar w:fldCharType="begin"/>
        </w:r>
        <w:r>
          <w:rPr>
            <w:noProof/>
            <w:webHidden/>
          </w:rPr>
          <w:instrText xml:space="preserve"> PAGEREF _Toc182409585 \h </w:instrText>
        </w:r>
        <w:r>
          <w:rPr>
            <w:noProof/>
            <w:webHidden/>
          </w:rPr>
        </w:r>
        <w:r>
          <w:rPr>
            <w:noProof/>
            <w:webHidden/>
          </w:rPr>
          <w:fldChar w:fldCharType="separate"/>
        </w:r>
        <w:r>
          <w:rPr>
            <w:noProof/>
            <w:webHidden/>
          </w:rPr>
          <w:t>10</w:t>
        </w:r>
        <w:r>
          <w:rPr>
            <w:noProof/>
            <w:webHidden/>
          </w:rPr>
          <w:fldChar w:fldCharType="end"/>
        </w:r>
      </w:hyperlink>
    </w:p>
    <w:p w14:paraId="1C688140" w14:textId="1547D888" w:rsidR="006D5705" w:rsidRDefault="006D5705">
      <w:pPr>
        <w:pStyle w:val="TOC4"/>
        <w:rPr>
          <w:rFonts w:eastAsiaTheme="minorEastAsia"/>
          <w:smallCaps w:val="0"/>
          <w:noProof/>
          <w:kern w:val="2"/>
          <w:sz w:val="24"/>
          <w:szCs w:val="24"/>
          <w:lang w:val="en-US" w:eastAsia="en-US" w:bidi="ar-SA"/>
          <w14:ligatures w14:val="standardContextual"/>
        </w:rPr>
      </w:pPr>
      <w:hyperlink w:anchor="_Toc182409586" w:history="1">
        <w:r w:rsidRPr="00BA2351">
          <w:rPr>
            <w:rStyle w:val="Hyperlink"/>
            <w:noProof/>
          </w:rPr>
          <w:t>Dynamics 365 Remote Assist</w:t>
        </w:r>
        <w:r>
          <w:rPr>
            <w:noProof/>
            <w:webHidden/>
          </w:rPr>
          <w:tab/>
        </w:r>
        <w:r>
          <w:rPr>
            <w:noProof/>
            <w:webHidden/>
          </w:rPr>
          <w:fldChar w:fldCharType="begin"/>
        </w:r>
        <w:r>
          <w:rPr>
            <w:noProof/>
            <w:webHidden/>
          </w:rPr>
          <w:instrText xml:space="preserve"> PAGEREF _Toc182409586 \h </w:instrText>
        </w:r>
        <w:r>
          <w:rPr>
            <w:noProof/>
            <w:webHidden/>
          </w:rPr>
        </w:r>
        <w:r>
          <w:rPr>
            <w:noProof/>
            <w:webHidden/>
          </w:rPr>
          <w:fldChar w:fldCharType="separate"/>
        </w:r>
        <w:r>
          <w:rPr>
            <w:noProof/>
            <w:webHidden/>
          </w:rPr>
          <w:t>10</w:t>
        </w:r>
        <w:r>
          <w:rPr>
            <w:noProof/>
            <w:webHidden/>
          </w:rPr>
          <w:fldChar w:fldCharType="end"/>
        </w:r>
      </w:hyperlink>
    </w:p>
    <w:p w14:paraId="70334193" w14:textId="40461117" w:rsidR="006D5705" w:rsidRDefault="006D5705">
      <w:pPr>
        <w:pStyle w:val="TOC4"/>
        <w:rPr>
          <w:rFonts w:eastAsiaTheme="minorEastAsia"/>
          <w:smallCaps w:val="0"/>
          <w:noProof/>
          <w:kern w:val="2"/>
          <w:sz w:val="24"/>
          <w:szCs w:val="24"/>
          <w:lang w:val="en-US" w:eastAsia="en-US" w:bidi="ar-SA"/>
          <w14:ligatures w14:val="standardContextual"/>
        </w:rPr>
      </w:pPr>
      <w:hyperlink w:anchor="_Toc182409587" w:history="1">
        <w:r w:rsidRPr="00BA2351">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_Toc182409587 \h </w:instrText>
        </w:r>
        <w:r>
          <w:rPr>
            <w:noProof/>
            <w:webHidden/>
          </w:rPr>
        </w:r>
        <w:r>
          <w:rPr>
            <w:noProof/>
            <w:webHidden/>
          </w:rPr>
          <w:fldChar w:fldCharType="separate"/>
        </w:r>
        <w:r>
          <w:rPr>
            <w:noProof/>
            <w:webHidden/>
          </w:rPr>
          <w:t>10</w:t>
        </w:r>
        <w:r>
          <w:rPr>
            <w:noProof/>
            <w:webHidden/>
          </w:rPr>
          <w:fldChar w:fldCharType="end"/>
        </w:r>
      </w:hyperlink>
    </w:p>
    <w:p w14:paraId="79678F9F" w14:textId="729764EA" w:rsidR="006D5705" w:rsidRDefault="006D5705">
      <w:pPr>
        <w:pStyle w:val="TOC4"/>
        <w:rPr>
          <w:rFonts w:eastAsiaTheme="minorEastAsia"/>
          <w:smallCaps w:val="0"/>
          <w:noProof/>
          <w:kern w:val="2"/>
          <w:sz w:val="24"/>
          <w:szCs w:val="24"/>
          <w:lang w:val="en-US" w:eastAsia="en-US" w:bidi="ar-SA"/>
          <w14:ligatures w14:val="standardContextual"/>
        </w:rPr>
      </w:pPr>
      <w:hyperlink w:anchor="_Toc182409588" w:history="1">
        <w:r w:rsidRPr="00BA2351">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_Toc182409588 \h </w:instrText>
        </w:r>
        <w:r>
          <w:rPr>
            <w:noProof/>
            <w:webHidden/>
          </w:rPr>
        </w:r>
        <w:r>
          <w:rPr>
            <w:noProof/>
            <w:webHidden/>
          </w:rPr>
          <w:fldChar w:fldCharType="separate"/>
        </w:r>
        <w:r>
          <w:rPr>
            <w:noProof/>
            <w:webHidden/>
          </w:rPr>
          <w:t>11</w:t>
        </w:r>
        <w:r>
          <w:rPr>
            <w:noProof/>
            <w:webHidden/>
          </w:rPr>
          <w:fldChar w:fldCharType="end"/>
        </w:r>
      </w:hyperlink>
    </w:p>
    <w:p w14:paraId="14FDC445" w14:textId="2CFE99E0" w:rsidR="006D5705" w:rsidRDefault="006D570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409589" w:history="1">
        <w:r w:rsidRPr="00BA2351">
          <w:rPr>
            <w:rStyle w:val="Hyperlink"/>
            <w:noProof/>
          </w:rPr>
          <w:t>Serviços do Office 365</w:t>
        </w:r>
        <w:r>
          <w:rPr>
            <w:noProof/>
            <w:webHidden/>
          </w:rPr>
          <w:tab/>
        </w:r>
        <w:r>
          <w:rPr>
            <w:noProof/>
            <w:webHidden/>
          </w:rPr>
          <w:fldChar w:fldCharType="begin"/>
        </w:r>
        <w:r>
          <w:rPr>
            <w:noProof/>
            <w:webHidden/>
          </w:rPr>
          <w:instrText xml:space="preserve"> PAGEREF _Toc182409589 \h </w:instrText>
        </w:r>
        <w:r>
          <w:rPr>
            <w:noProof/>
            <w:webHidden/>
          </w:rPr>
        </w:r>
        <w:r>
          <w:rPr>
            <w:noProof/>
            <w:webHidden/>
          </w:rPr>
          <w:fldChar w:fldCharType="separate"/>
        </w:r>
        <w:r>
          <w:rPr>
            <w:noProof/>
            <w:webHidden/>
          </w:rPr>
          <w:t>12</w:t>
        </w:r>
        <w:r>
          <w:rPr>
            <w:noProof/>
            <w:webHidden/>
          </w:rPr>
          <w:fldChar w:fldCharType="end"/>
        </w:r>
      </w:hyperlink>
    </w:p>
    <w:p w14:paraId="665F4822" w14:textId="7F40611A" w:rsidR="006D5705" w:rsidRDefault="006D5705">
      <w:pPr>
        <w:pStyle w:val="TOC4"/>
        <w:rPr>
          <w:rFonts w:eastAsiaTheme="minorEastAsia"/>
          <w:smallCaps w:val="0"/>
          <w:noProof/>
          <w:kern w:val="2"/>
          <w:sz w:val="24"/>
          <w:szCs w:val="24"/>
          <w:lang w:val="en-US" w:eastAsia="en-US" w:bidi="ar-SA"/>
          <w14:ligatures w14:val="standardContextual"/>
        </w:rPr>
      </w:pPr>
      <w:hyperlink w:anchor="_Toc182409590" w:history="1">
        <w:r w:rsidRPr="00BA2351">
          <w:rPr>
            <w:rStyle w:val="Hyperlink"/>
            <w:noProof/>
          </w:rPr>
          <w:t>Duet Enterprise Online</w:t>
        </w:r>
        <w:r>
          <w:rPr>
            <w:noProof/>
            <w:webHidden/>
          </w:rPr>
          <w:tab/>
        </w:r>
        <w:r>
          <w:rPr>
            <w:noProof/>
            <w:webHidden/>
          </w:rPr>
          <w:fldChar w:fldCharType="begin"/>
        </w:r>
        <w:r>
          <w:rPr>
            <w:noProof/>
            <w:webHidden/>
          </w:rPr>
          <w:instrText xml:space="preserve"> PAGEREF _Toc182409590 \h </w:instrText>
        </w:r>
        <w:r>
          <w:rPr>
            <w:noProof/>
            <w:webHidden/>
          </w:rPr>
        </w:r>
        <w:r>
          <w:rPr>
            <w:noProof/>
            <w:webHidden/>
          </w:rPr>
          <w:fldChar w:fldCharType="separate"/>
        </w:r>
        <w:r>
          <w:rPr>
            <w:noProof/>
            <w:webHidden/>
          </w:rPr>
          <w:t>12</w:t>
        </w:r>
        <w:r>
          <w:rPr>
            <w:noProof/>
            <w:webHidden/>
          </w:rPr>
          <w:fldChar w:fldCharType="end"/>
        </w:r>
      </w:hyperlink>
    </w:p>
    <w:p w14:paraId="705F1B9D" w14:textId="479D987B" w:rsidR="006D5705" w:rsidRDefault="006D5705">
      <w:pPr>
        <w:pStyle w:val="TOC4"/>
        <w:rPr>
          <w:rFonts w:eastAsiaTheme="minorEastAsia"/>
          <w:smallCaps w:val="0"/>
          <w:noProof/>
          <w:kern w:val="2"/>
          <w:sz w:val="24"/>
          <w:szCs w:val="24"/>
          <w:lang w:val="en-US" w:eastAsia="en-US" w:bidi="ar-SA"/>
          <w14:ligatures w14:val="standardContextual"/>
        </w:rPr>
      </w:pPr>
      <w:hyperlink w:anchor="_Toc182409591" w:history="1">
        <w:r w:rsidRPr="00BA2351">
          <w:rPr>
            <w:rStyle w:val="Hyperlink"/>
            <w:noProof/>
          </w:rPr>
          <w:t>Exchange Online</w:t>
        </w:r>
        <w:r>
          <w:rPr>
            <w:noProof/>
            <w:webHidden/>
          </w:rPr>
          <w:tab/>
        </w:r>
        <w:r>
          <w:rPr>
            <w:noProof/>
            <w:webHidden/>
          </w:rPr>
          <w:fldChar w:fldCharType="begin"/>
        </w:r>
        <w:r>
          <w:rPr>
            <w:noProof/>
            <w:webHidden/>
          </w:rPr>
          <w:instrText xml:space="preserve"> PAGEREF _Toc182409591 \h </w:instrText>
        </w:r>
        <w:r>
          <w:rPr>
            <w:noProof/>
            <w:webHidden/>
          </w:rPr>
        </w:r>
        <w:r>
          <w:rPr>
            <w:noProof/>
            <w:webHidden/>
          </w:rPr>
          <w:fldChar w:fldCharType="separate"/>
        </w:r>
        <w:r>
          <w:rPr>
            <w:noProof/>
            <w:webHidden/>
          </w:rPr>
          <w:t>12</w:t>
        </w:r>
        <w:r>
          <w:rPr>
            <w:noProof/>
            <w:webHidden/>
          </w:rPr>
          <w:fldChar w:fldCharType="end"/>
        </w:r>
      </w:hyperlink>
    </w:p>
    <w:p w14:paraId="0BB33905" w14:textId="77B1ED5E" w:rsidR="006D5705" w:rsidRDefault="006D5705">
      <w:pPr>
        <w:pStyle w:val="TOC4"/>
        <w:rPr>
          <w:rFonts w:eastAsiaTheme="minorEastAsia"/>
          <w:smallCaps w:val="0"/>
          <w:noProof/>
          <w:kern w:val="2"/>
          <w:sz w:val="24"/>
          <w:szCs w:val="24"/>
          <w:lang w:val="en-US" w:eastAsia="en-US" w:bidi="ar-SA"/>
          <w14:ligatures w14:val="standardContextual"/>
        </w:rPr>
      </w:pPr>
      <w:hyperlink w:anchor="_Toc182409592" w:history="1">
        <w:r w:rsidRPr="00BA2351">
          <w:rPr>
            <w:rStyle w:val="Hyperlink"/>
            <w:noProof/>
          </w:rPr>
          <w:t>Arquivo de Exchange Online</w:t>
        </w:r>
        <w:r>
          <w:rPr>
            <w:noProof/>
            <w:webHidden/>
          </w:rPr>
          <w:tab/>
        </w:r>
        <w:r>
          <w:rPr>
            <w:noProof/>
            <w:webHidden/>
          </w:rPr>
          <w:fldChar w:fldCharType="begin"/>
        </w:r>
        <w:r>
          <w:rPr>
            <w:noProof/>
            <w:webHidden/>
          </w:rPr>
          <w:instrText xml:space="preserve"> PAGEREF _Toc182409592 \h </w:instrText>
        </w:r>
        <w:r>
          <w:rPr>
            <w:noProof/>
            <w:webHidden/>
          </w:rPr>
        </w:r>
        <w:r>
          <w:rPr>
            <w:noProof/>
            <w:webHidden/>
          </w:rPr>
          <w:fldChar w:fldCharType="separate"/>
        </w:r>
        <w:r>
          <w:rPr>
            <w:noProof/>
            <w:webHidden/>
          </w:rPr>
          <w:t>14</w:t>
        </w:r>
        <w:r>
          <w:rPr>
            <w:noProof/>
            <w:webHidden/>
          </w:rPr>
          <w:fldChar w:fldCharType="end"/>
        </w:r>
      </w:hyperlink>
    </w:p>
    <w:p w14:paraId="759F2657" w14:textId="7CB7B5B4" w:rsidR="006D5705" w:rsidRDefault="006D5705">
      <w:pPr>
        <w:pStyle w:val="TOC4"/>
        <w:rPr>
          <w:rFonts w:eastAsiaTheme="minorEastAsia"/>
          <w:smallCaps w:val="0"/>
          <w:noProof/>
          <w:kern w:val="2"/>
          <w:sz w:val="24"/>
          <w:szCs w:val="24"/>
          <w:lang w:val="en-US" w:eastAsia="en-US" w:bidi="ar-SA"/>
          <w14:ligatures w14:val="standardContextual"/>
        </w:rPr>
      </w:pPr>
      <w:hyperlink w:anchor="_Toc182409593" w:history="1">
        <w:r w:rsidRPr="00BA2351">
          <w:rPr>
            <w:rStyle w:val="Hyperlink"/>
            <w:noProof/>
          </w:rPr>
          <w:t>Proteção do Exchange Online</w:t>
        </w:r>
        <w:r>
          <w:rPr>
            <w:noProof/>
            <w:webHidden/>
          </w:rPr>
          <w:tab/>
        </w:r>
        <w:r>
          <w:rPr>
            <w:noProof/>
            <w:webHidden/>
          </w:rPr>
          <w:fldChar w:fldCharType="begin"/>
        </w:r>
        <w:r>
          <w:rPr>
            <w:noProof/>
            <w:webHidden/>
          </w:rPr>
          <w:instrText xml:space="preserve"> PAGEREF _Toc182409593 \h </w:instrText>
        </w:r>
        <w:r>
          <w:rPr>
            <w:noProof/>
            <w:webHidden/>
          </w:rPr>
        </w:r>
        <w:r>
          <w:rPr>
            <w:noProof/>
            <w:webHidden/>
          </w:rPr>
          <w:fldChar w:fldCharType="separate"/>
        </w:r>
        <w:r>
          <w:rPr>
            <w:noProof/>
            <w:webHidden/>
          </w:rPr>
          <w:t>15</w:t>
        </w:r>
        <w:r>
          <w:rPr>
            <w:noProof/>
            <w:webHidden/>
          </w:rPr>
          <w:fldChar w:fldCharType="end"/>
        </w:r>
      </w:hyperlink>
    </w:p>
    <w:p w14:paraId="758EDA47" w14:textId="48D55F91" w:rsidR="006D5705" w:rsidRDefault="006D5705">
      <w:pPr>
        <w:pStyle w:val="TOC4"/>
        <w:rPr>
          <w:rFonts w:eastAsiaTheme="minorEastAsia"/>
          <w:smallCaps w:val="0"/>
          <w:noProof/>
          <w:kern w:val="2"/>
          <w:sz w:val="24"/>
          <w:szCs w:val="24"/>
          <w:lang w:val="en-US" w:eastAsia="en-US" w:bidi="ar-SA"/>
          <w14:ligatures w14:val="standardContextual"/>
        </w:rPr>
      </w:pPr>
      <w:hyperlink w:anchor="_Toc182409594" w:history="1">
        <w:r w:rsidRPr="00BA2351">
          <w:rPr>
            <w:rStyle w:val="Hyperlink"/>
            <w:noProof/>
          </w:rPr>
          <w:t>Microsoft MyAnalytics</w:t>
        </w:r>
        <w:r>
          <w:rPr>
            <w:noProof/>
            <w:webHidden/>
          </w:rPr>
          <w:tab/>
        </w:r>
        <w:r>
          <w:rPr>
            <w:noProof/>
            <w:webHidden/>
          </w:rPr>
          <w:fldChar w:fldCharType="begin"/>
        </w:r>
        <w:r>
          <w:rPr>
            <w:noProof/>
            <w:webHidden/>
          </w:rPr>
          <w:instrText xml:space="preserve"> PAGEREF _Toc182409594 \h </w:instrText>
        </w:r>
        <w:r>
          <w:rPr>
            <w:noProof/>
            <w:webHidden/>
          </w:rPr>
        </w:r>
        <w:r>
          <w:rPr>
            <w:noProof/>
            <w:webHidden/>
          </w:rPr>
          <w:fldChar w:fldCharType="separate"/>
        </w:r>
        <w:r>
          <w:rPr>
            <w:noProof/>
            <w:webHidden/>
          </w:rPr>
          <w:t>15</w:t>
        </w:r>
        <w:r>
          <w:rPr>
            <w:noProof/>
            <w:webHidden/>
          </w:rPr>
          <w:fldChar w:fldCharType="end"/>
        </w:r>
      </w:hyperlink>
    </w:p>
    <w:p w14:paraId="0458CD9B" w14:textId="289A3655" w:rsidR="006D5705" w:rsidRDefault="006D5705">
      <w:pPr>
        <w:pStyle w:val="TOC4"/>
        <w:rPr>
          <w:rFonts w:eastAsiaTheme="minorEastAsia"/>
          <w:smallCaps w:val="0"/>
          <w:noProof/>
          <w:kern w:val="2"/>
          <w:sz w:val="24"/>
          <w:szCs w:val="24"/>
          <w:lang w:val="en-US" w:eastAsia="en-US" w:bidi="ar-SA"/>
          <w14:ligatures w14:val="standardContextual"/>
        </w:rPr>
      </w:pPr>
      <w:hyperlink w:anchor="_Toc182409595" w:history="1">
        <w:r w:rsidRPr="00BA2351">
          <w:rPr>
            <w:rStyle w:val="Hyperlink"/>
            <w:noProof/>
          </w:rPr>
          <w:t>Microsoft Stream (Clássico)</w:t>
        </w:r>
        <w:r>
          <w:rPr>
            <w:noProof/>
            <w:webHidden/>
          </w:rPr>
          <w:tab/>
        </w:r>
        <w:r>
          <w:rPr>
            <w:noProof/>
            <w:webHidden/>
          </w:rPr>
          <w:fldChar w:fldCharType="begin"/>
        </w:r>
        <w:r>
          <w:rPr>
            <w:noProof/>
            <w:webHidden/>
          </w:rPr>
          <w:instrText xml:space="preserve"> PAGEREF _Toc182409595 \h </w:instrText>
        </w:r>
        <w:r>
          <w:rPr>
            <w:noProof/>
            <w:webHidden/>
          </w:rPr>
        </w:r>
        <w:r>
          <w:rPr>
            <w:noProof/>
            <w:webHidden/>
          </w:rPr>
          <w:fldChar w:fldCharType="separate"/>
        </w:r>
        <w:r>
          <w:rPr>
            <w:noProof/>
            <w:webHidden/>
          </w:rPr>
          <w:t>16</w:t>
        </w:r>
        <w:r>
          <w:rPr>
            <w:noProof/>
            <w:webHidden/>
          </w:rPr>
          <w:fldChar w:fldCharType="end"/>
        </w:r>
      </w:hyperlink>
    </w:p>
    <w:p w14:paraId="5DD477DE" w14:textId="6DBC9E59" w:rsidR="006D5705" w:rsidRDefault="006D5705">
      <w:pPr>
        <w:pStyle w:val="TOC4"/>
        <w:rPr>
          <w:rFonts w:eastAsiaTheme="minorEastAsia"/>
          <w:smallCaps w:val="0"/>
          <w:noProof/>
          <w:kern w:val="2"/>
          <w:sz w:val="24"/>
          <w:szCs w:val="24"/>
          <w:lang w:val="en-US" w:eastAsia="en-US" w:bidi="ar-SA"/>
          <w14:ligatures w14:val="standardContextual"/>
        </w:rPr>
      </w:pPr>
      <w:hyperlink w:anchor="_Toc182409596" w:history="1">
        <w:r w:rsidRPr="00BA2351">
          <w:rPr>
            <w:rStyle w:val="Hyperlink"/>
            <w:noProof/>
          </w:rPr>
          <w:t>Microsoft Teams</w:t>
        </w:r>
        <w:r>
          <w:rPr>
            <w:noProof/>
            <w:webHidden/>
          </w:rPr>
          <w:tab/>
        </w:r>
        <w:r>
          <w:rPr>
            <w:noProof/>
            <w:webHidden/>
          </w:rPr>
          <w:fldChar w:fldCharType="begin"/>
        </w:r>
        <w:r>
          <w:rPr>
            <w:noProof/>
            <w:webHidden/>
          </w:rPr>
          <w:instrText xml:space="preserve"> PAGEREF _Toc182409596 \h </w:instrText>
        </w:r>
        <w:r>
          <w:rPr>
            <w:noProof/>
            <w:webHidden/>
          </w:rPr>
        </w:r>
        <w:r>
          <w:rPr>
            <w:noProof/>
            <w:webHidden/>
          </w:rPr>
          <w:fldChar w:fldCharType="separate"/>
        </w:r>
        <w:r>
          <w:rPr>
            <w:noProof/>
            <w:webHidden/>
          </w:rPr>
          <w:t>16</w:t>
        </w:r>
        <w:r>
          <w:rPr>
            <w:noProof/>
            <w:webHidden/>
          </w:rPr>
          <w:fldChar w:fldCharType="end"/>
        </w:r>
      </w:hyperlink>
    </w:p>
    <w:p w14:paraId="3B076135" w14:textId="5E133567" w:rsidR="006D5705" w:rsidRDefault="006D5705">
      <w:pPr>
        <w:pStyle w:val="TOC4"/>
        <w:rPr>
          <w:rFonts w:eastAsiaTheme="minorEastAsia"/>
          <w:smallCaps w:val="0"/>
          <w:noProof/>
          <w:kern w:val="2"/>
          <w:sz w:val="24"/>
          <w:szCs w:val="24"/>
          <w:lang w:val="en-US" w:eastAsia="en-US" w:bidi="ar-SA"/>
          <w14:ligatures w14:val="standardContextual"/>
        </w:rPr>
      </w:pPr>
      <w:hyperlink w:anchor="_Toc182409597" w:history="1">
        <w:r w:rsidRPr="00BA2351">
          <w:rPr>
            <w:rStyle w:val="Hyperlink"/>
            <w:noProof/>
          </w:rPr>
          <w:t>Microsoft 365 Apps para Pequenas e Médias Empresas</w:t>
        </w:r>
        <w:r>
          <w:rPr>
            <w:noProof/>
            <w:webHidden/>
          </w:rPr>
          <w:tab/>
        </w:r>
        <w:r>
          <w:rPr>
            <w:noProof/>
            <w:webHidden/>
          </w:rPr>
          <w:fldChar w:fldCharType="begin"/>
        </w:r>
        <w:r>
          <w:rPr>
            <w:noProof/>
            <w:webHidden/>
          </w:rPr>
          <w:instrText xml:space="preserve"> PAGEREF _Toc182409597 \h </w:instrText>
        </w:r>
        <w:r>
          <w:rPr>
            <w:noProof/>
            <w:webHidden/>
          </w:rPr>
        </w:r>
        <w:r>
          <w:rPr>
            <w:noProof/>
            <w:webHidden/>
          </w:rPr>
          <w:fldChar w:fldCharType="separate"/>
        </w:r>
        <w:r>
          <w:rPr>
            <w:noProof/>
            <w:webHidden/>
          </w:rPr>
          <w:t>16</w:t>
        </w:r>
        <w:r>
          <w:rPr>
            <w:noProof/>
            <w:webHidden/>
          </w:rPr>
          <w:fldChar w:fldCharType="end"/>
        </w:r>
      </w:hyperlink>
    </w:p>
    <w:p w14:paraId="2528F4C3" w14:textId="7BED9BA6" w:rsidR="006D5705" w:rsidRDefault="006D5705">
      <w:pPr>
        <w:pStyle w:val="TOC4"/>
        <w:rPr>
          <w:rFonts w:eastAsiaTheme="minorEastAsia"/>
          <w:smallCaps w:val="0"/>
          <w:noProof/>
          <w:kern w:val="2"/>
          <w:sz w:val="24"/>
          <w:szCs w:val="24"/>
          <w:lang w:val="en-US" w:eastAsia="en-US" w:bidi="ar-SA"/>
          <w14:ligatures w14:val="standardContextual"/>
        </w:rPr>
      </w:pPr>
      <w:hyperlink w:anchor="_Toc182409598" w:history="1">
        <w:r w:rsidRPr="00BA2351">
          <w:rPr>
            <w:rStyle w:val="Hyperlink"/>
            <w:noProof/>
          </w:rPr>
          <w:t>Microsoft 365 Apps para Grandes Empresas</w:t>
        </w:r>
        <w:r>
          <w:rPr>
            <w:noProof/>
            <w:webHidden/>
          </w:rPr>
          <w:tab/>
        </w:r>
        <w:r>
          <w:rPr>
            <w:noProof/>
            <w:webHidden/>
          </w:rPr>
          <w:fldChar w:fldCharType="begin"/>
        </w:r>
        <w:r>
          <w:rPr>
            <w:noProof/>
            <w:webHidden/>
          </w:rPr>
          <w:instrText xml:space="preserve"> PAGEREF _Toc182409598 \h </w:instrText>
        </w:r>
        <w:r>
          <w:rPr>
            <w:noProof/>
            <w:webHidden/>
          </w:rPr>
        </w:r>
        <w:r>
          <w:rPr>
            <w:noProof/>
            <w:webHidden/>
          </w:rPr>
          <w:fldChar w:fldCharType="separate"/>
        </w:r>
        <w:r>
          <w:rPr>
            <w:noProof/>
            <w:webHidden/>
          </w:rPr>
          <w:t>17</w:t>
        </w:r>
        <w:r>
          <w:rPr>
            <w:noProof/>
            <w:webHidden/>
          </w:rPr>
          <w:fldChar w:fldCharType="end"/>
        </w:r>
      </w:hyperlink>
    </w:p>
    <w:p w14:paraId="2F42B3C2" w14:textId="2D7FB187" w:rsidR="006D5705" w:rsidRDefault="006D5705">
      <w:pPr>
        <w:pStyle w:val="TOC4"/>
        <w:rPr>
          <w:rFonts w:eastAsiaTheme="minorEastAsia"/>
          <w:smallCaps w:val="0"/>
          <w:noProof/>
          <w:kern w:val="2"/>
          <w:sz w:val="24"/>
          <w:szCs w:val="24"/>
          <w:lang w:val="en-US" w:eastAsia="en-US" w:bidi="ar-SA"/>
          <w14:ligatures w14:val="standardContextual"/>
        </w:rPr>
      </w:pPr>
      <w:hyperlink w:anchor="_Toc182409599" w:history="1">
        <w:r w:rsidRPr="00BA2351">
          <w:rPr>
            <w:rStyle w:val="Hyperlink"/>
            <w:noProof/>
          </w:rPr>
          <w:t>Office 365 Advanced Compliance</w:t>
        </w:r>
        <w:r>
          <w:rPr>
            <w:noProof/>
            <w:webHidden/>
          </w:rPr>
          <w:tab/>
        </w:r>
        <w:r>
          <w:rPr>
            <w:noProof/>
            <w:webHidden/>
          </w:rPr>
          <w:fldChar w:fldCharType="begin"/>
        </w:r>
        <w:r>
          <w:rPr>
            <w:noProof/>
            <w:webHidden/>
          </w:rPr>
          <w:instrText xml:space="preserve"> PAGEREF _Toc182409599 \h </w:instrText>
        </w:r>
        <w:r>
          <w:rPr>
            <w:noProof/>
            <w:webHidden/>
          </w:rPr>
        </w:r>
        <w:r>
          <w:rPr>
            <w:noProof/>
            <w:webHidden/>
          </w:rPr>
          <w:fldChar w:fldCharType="separate"/>
        </w:r>
        <w:r>
          <w:rPr>
            <w:noProof/>
            <w:webHidden/>
          </w:rPr>
          <w:t>17</w:t>
        </w:r>
        <w:r>
          <w:rPr>
            <w:noProof/>
            <w:webHidden/>
          </w:rPr>
          <w:fldChar w:fldCharType="end"/>
        </w:r>
      </w:hyperlink>
    </w:p>
    <w:p w14:paraId="2CF6E7EE" w14:textId="4FB6E8E2" w:rsidR="006D5705" w:rsidRDefault="006D5705">
      <w:pPr>
        <w:pStyle w:val="TOC4"/>
        <w:rPr>
          <w:rFonts w:eastAsiaTheme="minorEastAsia"/>
          <w:smallCaps w:val="0"/>
          <w:noProof/>
          <w:kern w:val="2"/>
          <w:sz w:val="24"/>
          <w:szCs w:val="24"/>
          <w:lang w:val="en-US" w:eastAsia="en-US" w:bidi="ar-SA"/>
          <w14:ligatures w14:val="standardContextual"/>
        </w:rPr>
      </w:pPr>
      <w:hyperlink w:anchor="_Toc182409600" w:history="1">
        <w:r w:rsidRPr="00BA2351">
          <w:rPr>
            <w:rStyle w:val="Hyperlink"/>
            <w:noProof/>
          </w:rPr>
          <w:t>Office Online</w:t>
        </w:r>
        <w:r>
          <w:rPr>
            <w:noProof/>
            <w:webHidden/>
          </w:rPr>
          <w:tab/>
        </w:r>
        <w:r>
          <w:rPr>
            <w:noProof/>
            <w:webHidden/>
          </w:rPr>
          <w:fldChar w:fldCharType="begin"/>
        </w:r>
        <w:r>
          <w:rPr>
            <w:noProof/>
            <w:webHidden/>
          </w:rPr>
          <w:instrText xml:space="preserve"> PAGEREF _Toc182409600 \h </w:instrText>
        </w:r>
        <w:r>
          <w:rPr>
            <w:noProof/>
            <w:webHidden/>
          </w:rPr>
        </w:r>
        <w:r>
          <w:rPr>
            <w:noProof/>
            <w:webHidden/>
          </w:rPr>
          <w:fldChar w:fldCharType="separate"/>
        </w:r>
        <w:r>
          <w:rPr>
            <w:noProof/>
            <w:webHidden/>
          </w:rPr>
          <w:t>17</w:t>
        </w:r>
        <w:r>
          <w:rPr>
            <w:noProof/>
            <w:webHidden/>
          </w:rPr>
          <w:fldChar w:fldCharType="end"/>
        </w:r>
      </w:hyperlink>
    </w:p>
    <w:p w14:paraId="172C4FC2" w14:textId="101600C0" w:rsidR="006D5705" w:rsidRDefault="006D5705">
      <w:pPr>
        <w:pStyle w:val="TOC4"/>
        <w:rPr>
          <w:rFonts w:eastAsiaTheme="minorEastAsia"/>
          <w:smallCaps w:val="0"/>
          <w:noProof/>
          <w:kern w:val="2"/>
          <w:sz w:val="24"/>
          <w:szCs w:val="24"/>
          <w:lang w:val="en-US" w:eastAsia="en-US" w:bidi="ar-SA"/>
          <w14:ligatures w14:val="standardContextual"/>
        </w:rPr>
      </w:pPr>
      <w:hyperlink w:anchor="_Toc182409601" w:history="1">
        <w:r w:rsidRPr="00BA2351">
          <w:rPr>
            <w:rStyle w:val="Hyperlink"/>
            <w:noProof/>
          </w:rPr>
          <w:t>Vídeo do Office 365</w:t>
        </w:r>
        <w:r>
          <w:rPr>
            <w:noProof/>
            <w:webHidden/>
          </w:rPr>
          <w:tab/>
        </w:r>
        <w:r>
          <w:rPr>
            <w:noProof/>
            <w:webHidden/>
          </w:rPr>
          <w:fldChar w:fldCharType="begin"/>
        </w:r>
        <w:r>
          <w:rPr>
            <w:noProof/>
            <w:webHidden/>
          </w:rPr>
          <w:instrText xml:space="preserve"> PAGEREF _Toc182409601 \h </w:instrText>
        </w:r>
        <w:r>
          <w:rPr>
            <w:noProof/>
            <w:webHidden/>
          </w:rPr>
        </w:r>
        <w:r>
          <w:rPr>
            <w:noProof/>
            <w:webHidden/>
          </w:rPr>
          <w:fldChar w:fldCharType="separate"/>
        </w:r>
        <w:r>
          <w:rPr>
            <w:noProof/>
            <w:webHidden/>
          </w:rPr>
          <w:t>18</w:t>
        </w:r>
        <w:r>
          <w:rPr>
            <w:noProof/>
            <w:webHidden/>
          </w:rPr>
          <w:fldChar w:fldCharType="end"/>
        </w:r>
      </w:hyperlink>
    </w:p>
    <w:p w14:paraId="19FC8518" w14:textId="1554DDA8" w:rsidR="006D5705" w:rsidRDefault="006D5705">
      <w:pPr>
        <w:pStyle w:val="TOC4"/>
        <w:rPr>
          <w:rFonts w:eastAsiaTheme="minorEastAsia"/>
          <w:smallCaps w:val="0"/>
          <w:noProof/>
          <w:kern w:val="2"/>
          <w:sz w:val="24"/>
          <w:szCs w:val="24"/>
          <w:lang w:val="en-US" w:eastAsia="en-US" w:bidi="ar-SA"/>
          <w14:ligatures w14:val="standardContextual"/>
        </w:rPr>
      </w:pPr>
      <w:hyperlink w:anchor="_Toc182409602" w:history="1">
        <w:r w:rsidRPr="00BA2351">
          <w:rPr>
            <w:rStyle w:val="Hyperlink"/>
            <w:noProof/>
          </w:rPr>
          <w:t>OneDrive para Empresas</w:t>
        </w:r>
        <w:r>
          <w:rPr>
            <w:noProof/>
            <w:webHidden/>
          </w:rPr>
          <w:tab/>
        </w:r>
        <w:r>
          <w:rPr>
            <w:noProof/>
            <w:webHidden/>
          </w:rPr>
          <w:fldChar w:fldCharType="begin"/>
        </w:r>
        <w:r>
          <w:rPr>
            <w:noProof/>
            <w:webHidden/>
          </w:rPr>
          <w:instrText xml:space="preserve"> PAGEREF _Toc182409602 \h </w:instrText>
        </w:r>
        <w:r>
          <w:rPr>
            <w:noProof/>
            <w:webHidden/>
          </w:rPr>
        </w:r>
        <w:r>
          <w:rPr>
            <w:noProof/>
            <w:webHidden/>
          </w:rPr>
          <w:fldChar w:fldCharType="separate"/>
        </w:r>
        <w:r>
          <w:rPr>
            <w:noProof/>
            <w:webHidden/>
          </w:rPr>
          <w:t>18</w:t>
        </w:r>
        <w:r>
          <w:rPr>
            <w:noProof/>
            <w:webHidden/>
          </w:rPr>
          <w:fldChar w:fldCharType="end"/>
        </w:r>
      </w:hyperlink>
    </w:p>
    <w:p w14:paraId="078AA55E" w14:textId="544A4274" w:rsidR="006D5705" w:rsidRDefault="006D5705">
      <w:pPr>
        <w:pStyle w:val="TOC4"/>
        <w:rPr>
          <w:rFonts w:eastAsiaTheme="minorEastAsia"/>
          <w:smallCaps w:val="0"/>
          <w:noProof/>
          <w:kern w:val="2"/>
          <w:sz w:val="24"/>
          <w:szCs w:val="24"/>
          <w:lang w:val="en-US" w:eastAsia="en-US" w:bidi="ar-SA"/>
          <w14:ligatures w14:val="standardContextual"/>
        </w:rPr>
      </w:pPr>
      <w:hyperlink w:anchor="_Toc182409603" w:history="1">
        <w:r w:rsidRPr="00BA2351">
          <w:rPr>
            <w:rStyle w:val="Hyperlink"/>
            <w:noProof/>
          </w:rPr>
          <w:t>Project</w:t>
        </w:r>
        <w:r>
          <w:rPr>
            <w:noProof/>
            <w:webHidden/>
          </w:rPr>
          <w:tab/>
        </w:r>
        <w:r>
          <w:rPr>
            <w:noProof/>
            <w:webHidden/>
          </w:rPr>
          <w:fldChar w:fldCharType="begin"/>
        </w:r>
        <w:r>
          <w:rPr>
            <w:noProof/>
            <w:webHidden/>
          </w:rPr>
          <w:instrText xml:space="preserve"> PAGEREF _Toc182409603 \h </w:instrText>
        </w:r>
        <w:r>
          <w:rPr>
            <w:noProof/>
            <w:webHidden/>
          </w:rPr>
        </w:r>
        <w:r>
          <w:rPr>
            <w:noProof/>
            <w:webHidden/>
          </w:rPr>
          <w:fldChar w:fldCharType="separate"/>
        </w:r>
        <w:r>
          <w:rPr>
            <w:noProof/>
            <w:webHidden/>
          </w:rPr>
          <w:t>18</w:t>
        </w:r>
        <w:r>
          <w:rPr>
            <w:noProof/>
            <w:webHidden/>
          </w:rPr>
          <w:fldChar w:fldCharType="end"/>
        </w:r>
      </w:hyperlink>
    </w:p>
    <w:p w14:paraId="6CF6AABD" w14:textId="7DB62A26" w:rsidR="006D5705" w:rsidRDefault="006D5705">
      <w:pPr>
        <w:pStyle w:val="TOC4"/>
        <w:rPr>
          <w:rFonts w:eastAsiaTheme="minorEastAsia"/>
          <w:smallCaps w:val="0"/>
          <w:noProof/>
          <w:kern w:val="2"/>
          <w:sz w:val="24"/>
          <w:szCs w:val="24"/>
          <w:lang w:val="en-US" w:eastAsia="en-US" w:bidi="ar-SA"/>
          <w14:ligatures w14:val="standardContextual"/>
        </w:rPr>
      </w:pPr>
      <w:hyperlink w:anchor="_Toc182409604" w:history="1">
        <w:r w:rsidRPr="00BA2351">
          <w:rPr>
            <w:rStyle w:val="Hyperlink"/>
            <w:noProof/>
          </w:rPr>
          <w:t>SharePoint Online</w:t>
        </w:r>
        <w:r>
          <w:rPr>
            <w:noProof/>
            <w:webHidden/>
          </w:rPr>
          <w:tab/>
        </w:r>
        <w:r>
          <w:rPr>
            <w:noProof/>
            <w:webHidden/>
          </w:rPr>
          <w:fldChar w:fldCharType="begin"/>
        </w:r>
        <w:r>
          <w:rPr>
            <w:noProof/>
            <w:webHidden/>
          </w:rPr>
          <w:instrText xml:space="preserve"> PAGEREF _Toc182409604 \h </w:instrText>
        </w:r>
        <w:r>
          <w:rPr>
            <w:noProof/>
            <w:webHidden/>
          </w:rPr>
        </w:r>
        <w:r>
          <w:rPr>
            <w:noProof/>
            <w:webHidden/>
          </w:rPr>
          <w:fldChar w:fldCharType="separate"/>
        </w:r>
        <w:r>
          <w:rPr>
            <w:noProof/>
            <w:webHidden/>
          </w:rPr>
          <w:t>19</w:t>
        </w:r>
        <w:r>
          <w:rPr>
            <w:noProof/>
            <w:webHidden/>
          </w:rPr>
          <w:fldChar w:fldCharType="end"/>
        </w:r>
      </w:hyperlink>
    </w:p>
    <w:p w14:paraId="4E00F937" w14:textId="040EFC4B" w:rsidR="006D5705" w:rsidRDefault="006D5705">
      <w:pPr>
        <w:pStyle w:val="TOC4"/>
        <w:rPr>
          <w:rFonts w:eastAsiaTheme="minorEastAsia"/>
          <w:smallCaps w:val="0"/>
          <w:noProof/>
          <w:kern w:val="2"/>
          <w:sz w:val="24"/>
          <w:szCs w:val="24"/>
          <w:lang w:val="en-US" w:eastAsia="en-US" w:bidi="ar-SA"/>
          <w14:ligatures w14:val="standardContextual"/>
        </w:rPr>
      </w:pPr>
      <w:hyperlink w:anchor="_Toc182409605" w:history="1">
        <w:r w:rsidRPr="00BA2351">
          <w:rPr>
            <w:rStyle w:val="Hyperlink"/>
            <w:noProof/>
          </w:rPr>
          <w:t>Microsoft Teams – Planos de Chamadas, Telefóne do Teams e Conferências de Áudio</w:t>
        </w:r>
        <w:r>
          <w:rPr>
            <w:noProof/>
            <w:webHidden/>
          </w:rPr>
          <w:tab/>
        </w:r>
        <w:r>
          <w:rPr>
            <w:noProof/>
            <w:webHidden/>
          </w:rPr>
          <w:fldChar w:fldCharType="begin"/>
        </w:r>
        <w:r>
          <w:rPr>
            <w:noProof/>
            <w:webHidden/>
          </w:rPr>
          <w:instrText xml:space="preserve"> PAGEREF _Toc182409605 \h </w:instrText>
        </w:r>
        <w:r>
          <w:rPr>
            <w:noProof/>
            <w:webHidden/>
          </w:rPr>
        </w:r>
        <w:r>
          <w:rPr>
            <w:noProof/>
            <w:webHidden/>
          </w:rPr>
          <w:fldChar w:fldCharType="separate"/>
        </w:r>
        <w:r>
          <w:rPr>
            <w:noProof/>
            <w:webHidden/>
          </w:rPr>
          <w:t>19</w:t>
        </w:r>
        <w:r>
          <w:rPr>
            <w:noProof/>
            <w:webHidden/>
          </w:rPr>
          <w:fldChar w:fldCharType="end"/>
        </w:r>
      </w:hyperlink>
    </w:p>
    <w:p w14:paraId="166583D5" w14:textId="653BE9EF" w:rsidR="006D5705" w:rsidRDefault="006D5705">
      <w:pPr>
        <w:pStyle w:val="TOC4"/>
        <w:rPr>
          <w:rFonts w:eastAsiaTheme="minorEastAsia"/>
          <w:smallCaps w:val="0"/>
          <w:noProof/>
          <w:kern w:val="2"/>
          <w:sz w:val="24"/>
          <w:szCs w:val="24"/>
          <w:lang w:val="en-US" w:eastAsia="en-US" w:bidi="ar-SA"/>
          <w14:ligatures w14:val="standardContextual"/>
        </w:rPr>
      </w:pPr>
      <w:hyperlink w:anchor="_Toc182409606" w:history="1">
        <w:r w:rsidRPr="00BA2351">
          <w:rPr>
            <w:rStyle w:val="Hyperlink"/>
            <w:noProof/>
          </w:rPr>
          <w:t>Microsoft Teams – Qualidade da Voz</w:t>
        </w:r>
        <w:r>
          <w:rPr>
            <w:noProof/>
            <w:webHidden/>
          </w:rPr>
          <w:tab/>
        </w:r>
        <w:r>
          <w:rPr>
            <w:noProof/>
            <w:webHidden/>
          </w:rPr>
          <w:fldChar w:fldCharType="begin"/>
        </w:r>
        <w:r>
          <w:rPr>
            <w:noProof/>
            <w:webHidden/>
          </w:rPr>
          <w:instrText xml:space="preserve"> PAGEREF _Toc182409606 \h </w:instrText>
        </w:r>
        <w:r>
          <w:rPr>
            <w:noProof/>
            <w:webHidden/>
          </w:rPr>
        </w:r>
        <w:r>
          <w:rPr>
            <w:noProof/>
            <w:webHidden/>
          </w:rPr>
          <w:fldChar w:fldCharType="separate"/>
        </w:r>
        <w:r>
          <w:rPr>
            <w:noProof/>
            <w:webHidden/>
          </w:rPr>
          <w:t>20</w:t>
        </w:r>
        <w:r>
          <w:rPr>
            <w:noProof/>
            <w:webHidden/>
          </w:rPr>
          <w:fldChar w:fldCharType="end"/>
        </w:r>
      </w:hyperlink>
    </w:p>
    <w:p w14:paraId="4F7F357B" w14:textId="778D545D" w:rsidR="006D5705" w:rsidRDefault="006D5705">
      <w:pPr>
        <w:pStyle w:val="TOC4"/>
        <w:rPr>
          <w:rFonts w:eastAsiaTheme="minorEastAsia"/>
          <w:smallCaps w:val="0"/>
          <w:noProof/>
          <w:kern w:val="2"/>
          <w:sz w:val="24"/>
          <w:szCs w:val="24"/>
          <w:lang w:val="en-US" w:eastAsia="en-US" w:bidi="ar-SA"/>
          <w14:ligatures w14:val="standardContextual"/>
        </w:rPr>
      </w:pPr>
      <w:hyperlink w:anchor="_Toc182409607" w:history="1">
        <w:r w:rsidRPr="00BA2351">
          <w:rPr>
            <w:rStyle w:val="Hyperlink"/>
            <w:noProof/>
          </w:rPr>
          <w:t>Informações sobre Tendências Empresariais</w:t>
        </w:r>
        <w:r>
          <w:rPr>
            <w:noProof/>
            <w:webHidden/>
          </w:rPr>
          <w:tab/>
        </w:r>
        <w:r>
          <w:rPr>
            <w:noProof/>
            <w:webHidden/>
          </w:rPr>
          <w:fldChar w:fldCharType="begin"/>
        </w:r>
        <w:r>
          <w:rPr>
            <w:noProof/>
            <w:webHidden/>
          </w:rPr>
          <w:instrText xml:space="preserve"> PAGEREF _Toc182409607 \h </w:instrText>
        </w:r>
        <w:r>
          <w:rPr>
            <w:noProof/>
            <w:webHidden/>
          </w:rPr>
        </w:r>
        <w:r>
          <w:rPr>
            <w:noProof/>
            <w:webHidden/>
          </w:rPr>
          <w:fldChar w:fldCharType="separate"/>
        </w:r>
        <w:r>
          <w:rPr>
            <w:noProof/>
            <w:webHidden/>
          </w:rPr>
          <w:t>20</w:t>
        </w:r>
        <w:r>
          <w:rPr>
            <w:noProof/>
            <w:webHidden/>
          </w:rPr>
          <w:fldChar w:fldCharType="end"/>
        </w:r>
      </w:hyperlink>
    </w:p>
    <w:p w14:paraId="5E3384E0" w14:textId="190FC76B" w:rsidR="006D5705" w:rsidRDefault="006D5705">
      <w:pPr>
        <w:pStyle w:val="TOC4"/>
        <w:rPr>
          <w:rFonts w:eastAsiaTheme="minorEastAsia"/>
          <w:smallCaps w:val="0"/>
          <w:noProof/>
          <w:kern w:val="2"/>
          <w:sz w:val="24"/>
          <w:szCs w:val="24"/>
          <w:lang w:val="en-US" w:eastAsia="en-US" w:bidi="ar-SA"/>
          <w14:ligatures w14:val="standardContextual"/>
        </w:rPr>
      </w:pPr>
      <w:hyperlink w:anchor="_Toc182409608" w:history="1">
        <w:r w:rsidRPr="00BA2351">
          <w:rPr>
            <w:rStyle w:val="Hyperlink"/>
            <w:noProof/>
          </w:rPr>
          <w:t>Yammer Enterprise</w:t>
        </w:r>
        <w:r>
          <w:rPr>
            <w:noProof/>
            <w:webHidden/>
          </w:rPr>
          <w:tab/>
        </w:r>
        <w:r>
          <w:rPr>
            <w:noProof/>
            <w:webHidden/>
          </w:rPr>
          <w:fldChar w:fldCharType="begin"/>
        </w:r>
        <w:r>
          <w:rPr>
            <w:noProof/>
            <w:webHidden/>
          </w:rPr>
          <w:instrText xml:space="preserve"> PAGEREF _Toc182409608 \h </w:instrText>
        </w:r>
        <w:r>
          <w:rPr>
            <w:noProof/>
            <w:webHidden/>
          </w:rPr>
        </w:r>
        <w:r>
          <w:rPr>
            <w:noProof/>
            <w:webHidden/>
          </w:rPr>
          <w:fldChar w:fldCharType="separate"/>
        </w:r>
        <w:r>
          <w:rPr>
            <w:noProof/>
            <w:webHidden/>
          </w:rPr>
          <w:t>20</w:t>
        </w:r>
        <w:r>
          <w:rPr>
            <w:noProof/>
            <w:webHidden/>
          </w:rPr>
          <w:fldChar w:fldCharType="end"/>
        </w:r>
      </w:hyperlink>
    </w:p>
    <w:p w14:paraId="797D735E" w14:textId="283D39E4" w:rsidR="006D5705" w:rsidRDefault="006D570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409609" w:history="1">
        <w:r w:rsidRPr="00BA2351">
          <w:rPr>
            <w:rStyle w:val="Hyperlink"/>
            <w:noProof/>
          </w:rPr>
          <w:t>Serviços e Planos do Microsoft Azure</w:t>
        </w:r>
        <w:r>
          <w:rPr>
            <w:noProof/>
            <w:webHidden/>
          </w:rPr>
          <w:tab/>
        </w:r>
        <w:r>
          <w:rPr>
            <w:noProof/>
            <w:webHidden/>
          </w:rPr>
          <w:fldChar w:fldCharType="begin"/>
        </w:r>
        <w:r>
          <w:rPr>
            <w:noProof/>
            <w:webHidden/>
          </w:rPr>
          <w:instrText xml:space="preserve"> PAGEREF _Toc182409609 \h </w:instrText>
        </w:r>
        <w:r>
          <w:rPr>
            <w:noProof/>
            <w:webHidden/>
          </w:rPr>
        </w:r>
        <w:r>
          <w:rPr>
            <w:noProof/>
            <w:webHidden/>
          </w:rPr>
          <w:fldChar w:fldCharType="separate"/>
        </w:r>
        <w:r>
          <w:rPr>
            <w:noProof/>
            <w:webHidden/>
          </w:rPr>
          <w:t>21</w:t>
        </w:r>
        <w:r>
          <w:rPr>
            <w:noProof/>
            <w:webHidden/>
          </w:rPr>
          <w:fldChar w:fldCharType="end"/>
        </w:r>
      </w:hyperlink>
    </w:p>
    <w:p w14:paraId="5CBFCFDD" w14:textId="7F751DB2" w:rsidR="006D5705" w:rsidRDefault="006D5705">
      <w:pPr>
        <w:pStyle w:val="TOC4"/>
        <w:rPr>
          <w:rFonts w:eastAsiaTheme="minorEastAsia"/>
          <w:smallCaps w:val="0"/>
          <w:noProof/>
          <w:kern w:val="2"/>
          <w:sz w:val="24"/>
          <w:szCs w:val="24"/>
          <w:lang w:val="en-US" w:eastAsia="en-US" w:bidi="ar-SA"/>
          <w14:ligatures w14:val="standardContextual"/>
        </w:rPr>
      </w:pPr>
      <w:hyperlink w:anchor="_Toc182409610" w:history="1">
        <w:r w:rsidRPr="00BA2351">
          <w:rPr>
            <w:rStyle w:val="Hyperlink"/>
            <w:noProof/>
            <w:lang w:val="en-IN"/>
          </w:rPr>
          <w:t>Microsoft Entra ID</w:t>
        </w:r>
        <w:r>
          <w:rPr>
            <w:noProof/>
            <w:webHidden/>
          </w:rPr>
          <w:tab/>
        </w:r>
        <w:r>
          <w:rPr>
            <w:noProof/>
            <w:webHidden/>
          </w:rPr>
          <w:fldChar w:fldCharType="begin"/>
        </w:r>
        <w:r>
          <w:rPr>
            <w:noProof/>
            <w:webHidden/>
          </w:rPr>
          <w:instrText xml:space="preserve"> PAGEREF _Toc182409610 \h </w:instrText>
        </w:r>
        <w:r>
          <w:rPr>
            <w:noProof/>
            <w:webHidden/>
          </w:rPr>
        </w:r>
        <w:r>
          <w:rPr>
            <w:noProof/>
            <w:webHidden/>
          </w:rPr>
          <w:fldChar w:fldCharType="separate"/>
        </w:r>
        <w:r>
          <w:rPr>
            <w:noProof/>
            <w:webHidden/>
          </w:rPr>
          <w:t>21</w:t>
        </w:r>
        <w:r>
          <w:rPr>
            <w:noProof/>
            <w:webHidden/>
          </w:rPr>
          <w:fldChar w:fldCharType="end"/>
        </w:r>
      </w:hyperlink>
    </w:p>
    <w:p w14:paraId="45962EB9" w14:textId="03A555E6" w:rsidR="006D5705" w:rsidRDefault="006D5705">
      <w:pPr>
        <w:pStyle w:val="TOC4"/>
        <w:rPr>
          <w:rFonts w:eastAsiaTheme="minorEastAsia"/>
          <w:smallCaps w:val="0"/>
          <w:noProof/>
          <w:kern w:val="2"/>
          <w:sz w:val="24"/>
          <w:szCs w:val="24"/>
          <w:lang w:val="en-US" w:eastAsia="en-US" w:bidi="ar-SA"/>
          <w14:ligatures w14:val="standardContextual"/>
        </w:rPr>
      </w:pPr>
      <w:hyperlink w:anchor="_Toc182409611" w:history="1">
        <w:r w:rsidRPr="00BA2351">
          <w:rPr>
            <w:rStyle w:val="Hyperlink"/>
            <w:noProof/>
          </w:rPr>
          <w:t>Azure Active Directory B2C</w:t>
        </w:r>
        <w:r>
          <w:rPr>
            <w:noProof/>
            <w:webHidden/>
          </w:rPr>
          <w:tab/>
        </w:r>
        <w:r>
          <w:rPr>
            <w:noProof/>
            <w:webHidden/>
          </w:rPr>
          <w:fldChar w:fldCharType="begin"/>
        </w:r>
        <w:r>
          <w:rPr>
            <w:noProof/>
            <w:webHidden/>
          </w:rPr>
          <w:instrText xml:space="preserve"> PAGEREF _Toc182409611 \h </w:instrText>
        </w:r>
        <w:r>
          <w:rPr>
            <w:noProof/>
            <w:webHidden/>
          </w:rPr>
        </w:r>
        <w:r>
          <w:rPr>
            <w:noProof/>
            <w:webHidden/>
          </w:rPr>
          <w:fldChar w:fldCharType="separate"/>
        </w:r>
        <w:r>
          <w:rPr>
            <w:noProof/>
            <w:webHidden/>
          </w:rPr>
          <w:t>21</w:t>
        </w:r>
        <w:r>
          <w:rPr>
            <w:noProof/>
            <w:webHidden/>
          </w:rPr>
          <w:fldChar w:fldCharType="end"/>
        </w:r>
      </w:hyperlink>
    </w:p>
    <w:p w14:paraId="2D8B3617" w14:textId="71BCA17D" w:rsidR="006D5705" w:rsidRDefault="006D5705">
      <w:pPr>
        <w:pStyle w:val="TOC4"/>
        <w:rPr>
          <w:rFonts w:eastAsiaTheme="minorEastAsia"/>
          <w:smallCaps w:val="0"/>
          <w:noProof/>
          <w:kern w:val="2"/>
          <w:sz w:val="24"/>
          <w:szCs w:val="24"/>
          <w:lang w:val="en-US" w:eastAsia="en-US" w:bidi="ar-SA"/>
          <w14:ligatures w14:val="standardContextual"/>
        </w:rPr>
      </w:pPr>
      <w:hyperlink w:anchor="_Toc182409612" w:history="1">
        <w:r w:rsidRPr="00BA2351">
          <w:rPr>
            <w:rStyle w:val="Hyperlink"/>
            <w:noProof/>
          </w:rPr>
          <w:t>Microsoft Entra Domain Services</w:t>
        </w:r>
        <w:r>
          <w:rPr>
            <w:noProof/>
            <w:webHidden/>
          </w:rPr>
          <w:tab/>
        </w:r>
        <w:r>
          <w:rPr>
            <w:noProof/>
            <w:webHidden/>
          </w:rPr>
          <w:fldChar w:fldCharType="begin"/>
        </w:r>
        <w:r>
          <w:rPr>
            <w:noProof/>
            <w:webHidden/>
          </w:rPr>
          <w:instrText xml:space="preserve"> PAGEREF _Toc182409612 \h </w:instrText>
        </w:r>
        <w:r>
          <w:rPr>
            <w:noProof/>
            <w:webHidden/>
          </w:rPr>
        </w:r>
        <w:r>
          <w:rPr>
            <w:noProof/>
            <w:webHidden/>
          </w:rPr>
          <w:fldChar w:fldCharType="separate"/>
        </w:r>
        <w:r>
          <w:rPr>
            <w:noProof/>
            <w:webHidden/>
          </w:rPr>
          <w:t>22</w:t>
        </w:r>
        <w:r>
          <w:rPr>
            <w:noProof/>
            <w:webHidden/>
          </w:rPr>
          <w:fldChar w:fldCharType="end"/>
        </w:r>
      </w:hyperlink>
    </w:p>
    <w:p w14:paraId="50A6E3C0" w14:textId="2AE71E81" w:rsidR="006D5705" w:rsidRDefault="006D5705">
      <w:pPr>
        <w:pStyle w:val="TOC4"/>
        <w:rPr>
          <w:rFonts w:eastAsiaTheme="minorEastAsia"/>
          <w:smallCaps w:val="0"/>
          <w:noProof/>
          <w:kern w:val="2"/>
          <w:sz w:val="24"/>
          <w:szCs w:val="24"/>
          <w:lang w:val="en-US" w:eastAsia="en-US" w:bidi="ar-SA"/>
          <w14:ligatures w14:val="standardContextual"/>
        </w:rPr>
      </w:pPr>
      <w:hyperlink w:anchor="_Toc182409613" w:history="1">
        <w:r w:rsidRPr="00BA2351">
          <w:rPr>
            <w:rStyle w:val="Hyperlink"/>
            <w:noProof/>
          </w:rPr>
          <w:t>Analysis Services</w:t>
        </w:r>
        <w:r>
          <w:rPr>
            <w:noProof/>
            <w:webHidden/>
          </w:rPr>
          <w:tab/>
        </w:r>
        <w:r>
          <w:rPr>
            <w:noProof/>
            <w:webHidden/>
          </w:rPr>
          <w:fldChar w:fldCharType="begin"/>
        </w:r>
        <w:r>
          <w:rPr>
            <w:noProof/>
            <w:webHidden/>
          </w:rPr>
          <w:instrText xml:space="preserve"> PAGEREF _Toc182409613 \h </w:instrText>
        </w:r>
        <w:r>
          <w:rPr>
            <w:noProof/>
            <w:webHidden/>
          </w:rPr>
        </w:r>
        <w:r>
          <w:rPr>
            <w:noProof/>
            <w:webHidden/>
          </w:rPr>
          <w:fldChar w:fldCharType="separate"/>
        </w:r>
        <w:r>
          <w:rPr>
            <w:noProof/>
            <w:webHidden/>
          </w:rPr>
          <w:t>22</w:t>
        </w:r>
        <w:r>
          <w:rPr>
            <w:noProof/>
            <w:webHidden/>
          </w:rPr>
          <w:fldChar w:fldCharType="end"/>
        </w:r>
      </w:hyperlink>
    </w:p>
    <w:p w14:paraId="2D7C1CF6" w14:textId="3973A0D3" w:rsidR="006D5705" w:rsidRDefault="006D5705">
      <w:pPr>
        <w:pStyle w:val="TOC4"/>
        <w:rPr>
          <w:rFonts w:eastAsiaTheme="minorEastAsia"/>
          <w:smallCaps w:val="0"/>
          <w:noProof/>
          <w:kern w:val="2"/>
          <w:sz w:val="24"/>
          <w:szCs w:val="24"/>
          <w:lang w:val="en-US" w:eastAsia="en-US" w:bidi="ar-SA"/>
          <w14:ligatures w14:val="standardContextual"/>
        </w:rPr>
      </w:pPr>
      <w:hyperlink w:anchor="_Toc182409614" w:history="1">
        <w:r w:rsidRPr="00BA2351">
          <w:rPr>
            <w:rStyle w:val="Hyperlink"/>
            <w:noProof/>
          </w:rPr>
          <w:t>Azure API for FHIR</w:t>
        </w:r>
        <w:r>
          <w:rPr>
            <w:noProof/>
            <w:webHidden/>
          </w:rPr>
          <w:tab/>
        </w:r>
        <w:r>
          <w:rPr>
            <w:noProof/>
            <w:webHidden/>
          </w:rPr>
          <w:fldChar w:fldCharType="begin"/>
        </w:r>
        <w:r>
          <w:rPr>
            <w:noProof/>
            <w:webHidden/>
          </w:rPr>
          <w:instrText xml:space="preserve"> PAGEREF _Toc182409614 \h </w:instrText>
        </w:r>
        <w:r>
          <w:rPr>
            <w:noProof/>
            <w:webHidden/>
          </w:rPr>
        </w:r>
        <w:r>
          <w:rPr>
            <w:noProof/>
            <w:webHidden/>
          </w:rPr>
          <w:fldChar w:fldCharType="separate"/>
        </w:r>
        <w:r>
          <w:rPr>
            <w:noProof/>
            <w:webHidden/>
          </w:rPr>
          <w:t>22</w:t>
        </w:r>
        <w:r>
          <w:rPr>
            <w:noProof/>
            <w:webHidden/>
          </w:rPr>
          <w:fldChar w:fldCharType="end"/>
        </w:r>
      </w:hyperlink>
    </w:p>
    <w:p w14:paraId="0D6FC58A" w14:textId="2550BB35" w:rsidR="006D5705" w:rsidRDefault="006D5705">
      <w:pPr>
        <w:pStyle w:val="TOC4"/>
        <w:rPr>
          <w:rFonts w:eastAsiaTheme="minorEastAsia"/>
          <w:smallCaps w:val="0"/>
          <w:noProof/>
          <w:kern w:val="2"/>
          <w:sz w:val="24"/>
          <w:szCs w:val="24"/>
          <w:lang w:val="en-US" w:eastAsia="en-US" w:bidi="ar-SA"/>
          <w14:ligatures w14:val="standardContextual"/>
        </w:rPr>
      </w:pPr>
      <w:hyperlink w:anchor="_Toc182409615" w:history="1">
        <w:r w:rsidRPr="00BA2351">
          <w:rPr>
            <w:rStyle w:val="Hyperlink"/>
            <w:noProof/>
          </w:rPr>
          <w:t>Servi</w:t>
        </w:r>
        <w:r w:rsidRPr="00BA2351">
          <w:rPr>
            <w:rStyle w:val="Hyperlink"/>
            <w:rFonts w:ascii="Calibri Light (heading)" w:hAnsi="Calibri Light (heading)" w:cs="Calibri Light"/>
            <w:noProof/>
          </w:rPr>
          <w:t>ços do Centro de APIs</w:t>
        </w:r>
        <w:r>
          <w:rPr>
            <w:noProof/>
            <w:webHidden/>
          </w:rPr>
          <w:tab/>
        </w:r>
        <w:r>
          <w:rPr>
            <w:noProof/>
            <w:webHidden/>
          </w:rPr>
          <w:fldChar w:fldCharType="begin"/>
        </w:r>
        <w:r>
          <w:rPr>
            <w:noProof/>
            <w:webHidden/>
          </w:rPr>
          <w:instrText xml:space="preserve"> PAGEREF _Toc182409615 \h </w:instrText>
        </w:r>
        <w:r>
          <w:rPr>
            <w:noProof/>
            <w:webHidden/>
          </w:rPr>
        </w:r>
        <w:r>
          <w:rPr>
            <w:noProof/>
            <w:webHidden/>
          </w:rPr>
          <w:fldChar w:fldCharType="separate"/>
        </w:r>
        <w:r>
          <w:rPr>
            <w:noProof/>
            <w:webHidden/>
          </w:rPr>
          <w:t>23</w:t>
        </w:r>
        <w:r>
          <w:rPr>
            <w:noProof/>
            <w:webHidden/>
          </w:rPr>
          <w:fldChar w:fldCharType="end"/>
        </w:r>
      </w:hyperlink>
    </w:p>
    <w:p w14:paraId="13F9ED24" w14:textId="5BDE9997" w:rsidR="006D5705" w:rsidRDefault="006D5705">
      <w:pPr>
        <w:pStyle w:val="TOC4"/>
        <w:rPr>
          <w:rFonts w:eastAsiaTheme="minorEastAsia"/>
          <w:smallCaps w:val="0"/>
          <w:noProof/>
          <w:kern w:val="2"/>
          <w:sz w:val="24"/>
          <w:szCs w:val="24"/>
          <w:lang w:val="en-US" w:eastAsia="en-US" w:bidi="ar-SA"/>
          <w14:ligatures w14:val="standardContextual"/>
        </w:rPr>
      </w:pPr>
      <w:hyperlink w:anchor="_Toc182409616" w:history="1">
        <w:r w:rsidRPr="00BA2351">
          <w:rPr>
            <w:rStyle w:val="Hyperlink"/>
            <w:noProof/>
          </w:rPr>
          <w:t>API Management Services</w:t>
        </w:r>
        <w:r>
          <w:rPr>
            <w:noProof/>
            <w:webHidden/>
          </w:rPr>
          <w:tab/>
        </w:r>
        <w:r>
          <w:rPr>
            <w:noProof/>
            <w:webHidden/>
          </w:rPr>
          <w:fldChar w:fldCharType="begin"/>
        </w:r>
        <w:r>
          <w:rPr>
            <w:noProof/>
            <w:webHidden/>
          </w:rPr>
          <w:instrText xml:space="preserve"> PAGEREF _Toc182409616 \h </w:instrText>
        </w:r>
        <w:r>
          <w:rPr>
            <w:noProof/>
            <w:webHidden/>
          </w:rPr>
        </w:r>
        <w:r>
          <w:rPr>
            <w:noProof/>
            <w:webHidden/>
          </w:rPr>
          <w:fldChar w:fldCharType="separate"/>
        </w:r>
        <w:r>
          <w:rPr>
            <w:noProof/>
            <w:webHidden/>
          </w:rPr>
          <w:t>23</w:t>
        </w:r>
        <w:r>
          <w:rPr>
            <w:noProof/>
            <w:webHidden/>
          </w:rPr>
          <w:fldChar w:fldCharType="end"/>
        </w:r>
      </w:hyperlink>
    </w:p>
    <w:p w14:paraId="760B45C8" w14:textId="4C6775DA" w:rsidR="006D5705" w:rsidRDefault="006D5705">
      <w:pPr>
        <w:pStyle w:val="TOC4"/>
        <w:rPr>
          <w:rFonts w:eastAsiaTheme="minorEastAsia"/>
          <w:smallCaps w:val="0"/>
          <w:noProof/>
          <w:kern w:val="2"/>
          <w:sz w:val="24"/>
          <w:szCs w:val="24"/>
          <w:lang w:val="en-US" w:eastAsia="en-US" w:bidi="ar-SA"/>
          <w14:ligatures w14:val="standardContextual"/>
        </w:rPr>
      </w:pPr>
      <w:hyperlink w:anchor="_Toc182409617" w:history="1">
        <w:r w:rsidRPr="00BA2351">
          <w:rPr>
            <w:rStyle w:val="Hyperlink"/>
            <w:noProof/>
          </w:rPr>
          <w:t>App Center</w:t>
        </w:r>
        <w:r>
          <w:rPr>
            <w:noProof/>
            <w:webHidden/>
          </w:rPr>
          <w:tab/>
        </w:r>
        <w:r>
          <w:rPr>
            <w:noProof/>
            <w:webHidden/>
          </w:rPr>
          <w:fldChar w:fldCharType="begin"/>
        </w:r>
        <w:r>
          <w:rPr>
            <w:noProof/>
            <w:webHidden/>
          </w:rPr>
          <w:instrText xml:space="preserve"> PAGEREF _Toc182409617 \h </w:instrText>
        </w:r>
        <w:r>
          <w:rPr>
            <w:noProof/>
            <w:webHidden/>
          </w:rPr>
        </w:r>
        <w:r>
          <w:rPr>
            <w:noProof/>
            <w:webHidden/>
          </w:rPr>
          <w:fldChar w:fldCharType="separate"/>
        </w:r>
        <w:r>
          <w:rPr>
            <w:noProof/>
            <w:webHidden/>
          </w:rPr>
          <w:t>24</w:t>
        </w:r>
        <w:r>
          <w:rPr>
            <w:noProof/>
            <w:webHidden/>
          </w:rPr>
          <w:fldChar w:fldCharType="end"/>
        </w:r>
      </w:hyperlink>
    </w:p>
    <w:p w14:paraId="29810357" w14:textId="638BAEFB" w:rsidR="006D5705" w:rsidRDefault="006D5705">
      <w:pPr>
        <w:pStyle w:val="TOC4"/>
        <w:rPr>
          <w:rFonts w:eastAsiaTheme="minorEastAsia"/>
          <w:smallCaps w:val="0"/>
          <w:noProof/>
          <w:kern w:val="2"/>
          <w:sz w:val="24"/>
          <w:szCs w:val="24"/>
          <w:lang w:val="en-US" w:eastAsia="en-US" w:bidi="ar-SA"/>
          <w14:ligatures w14:val="standardContextual"/>
        </w:rPr>
      </w:pPr>
      <w:hyperlink w:anchor="_Toc182409618" w:history="1">
        <w:r w:rsidRPr="00BA2351">
          <w:rPr>
            <w:rStyle w:val="Hyperlink"/>
            <w:noProof/>
          </w:rPr>
          <w:t>App Configuration</w:t>
        </w:r>
        <w:r>
          <w:rPr>
            <w:noProof/>
            <w:webHidden/>
          </w:rPr>
          <w:tab/>
        </w:r>
        <w:r>
          <w:rPr>
            <w:noProof/>
            <w:webHidden/>
          </w:rPr>
          <w:fldChar w:fldCharType="begin"/>
        </w:r>
        <w:r>
          <w:rPr>
            <w:noProof/>
            <w:webHidden/>
          </w:rPr>
          <w:instrText xml:space="preserve"> PAGEREF _Toc182409618 \h </w:instrText>
        </w:r>
        <w:r>
          <w:rPr>
            <w:noProof/>
            <w:webHidden/>
          </w:rPr>
        </w:r>
        <w:r>
          <w:rPr>
            <w:noProof/>
            <w:webHidden/>
          </w:rPr>
          <w:fldChar w:fldCharType="separate"/>
        </w:r>
        <w:r>
          <w:rPr>
            <w:noProof/>
            <w:webHidden/>
          </w:rPr>
          <w:t>25</w:t>
        </w:r>
        <w:r>
          <w:rPr>
            <w:noProof/>
            <w:webHidden/>
          </w:rPr>
          <w:fldChar w:fldCharType="end"/>
        </w:r>
      </w:hyperlink>
    </w:p>
    <w:p w14:paraId="5569F9D8" w14:textId="4D9207C6" w:rsidR="006D5705" w:rsidRDefault="006D5705">
      <w:pPr>
        <w:pStyle w:val="TOC4"/>
        <w:rPr>
          <w:rFonts w:eastAsiaTheme="minorEastAsia"/>
          <w:smallCaps w:val="0"/>
          <w:noProof/>
          <w:kern w:val="2"/>
          <w:sz w:val="24"/>
          <w:szCs w:val="24"/>
          <w:lang w:val="en-US" w:eastAsia="en-US" w:bidi="ar-SA"/>
          <w14:ligatures w14:val="standardContextual"/>
        </w:rPr>
      </w:pPr>
      <w:hyperlink w:anchor="_Toc182409619" w:history="1">
        <w:r w:rsidRPr="00BA2351">
          <w:rPr>
            <w:rStyle w:val="Hyperlink"/>
            <w:noProof/>
          </w:rPr>
          <w:t>App Service</w:t>
        </w:r>
        <w:r>
          <w:rPr>
            <w:noProof/>
            <w:webHidden/>
          </w:rPr>
          <w:tab/>
        </w:r>
        <w:r>
          <w:rPr>
            <w:noProof/>
            <w:webHidden/>
          </w:rPr>
          <w:fldChar w:fldCharType="begin"/>
        </w:r>
        <w:r>
          <w:rPr>
            <w:noProof/>
            <w:webHidden/>
          </w:rPr>
          <w:instrText xml:space="preserve"> PAGEREF _Toc182409619 \h </w:instrText>
        </w:r>
        <w:r>
          <w:rPr>
            <w:noProof/>
            <w:webHidden/>
          </w:rPr>
        </w:r>
        <w:r>
          <w:rPr>
            <w:noProof/>
            <w:webHidden/>
          </w:rPr>
          <w:fldChar w:fldCharType="separate"/>
        </w:r>
        <w:r>
          <w:rPr>
            <w:noProof/>
            <w:webHidden/>
          </w:rPr>
          <w:t>26</w:t>
        </w:r>
        <w:r>
          <w:rPr>
            <w:noProof/>
            <w:webHidden/>
          </w:rPr>
          <w:fldChar w:fldCharType="end"/>
        </w:r>
      </w:hyperlink>
    </w:p>
    <w:p w14:paraId="5DA2BA1E" w14:textId="335F19E0" w:rsidR="006D5705" w:rsidRDefault="006D5705">
      <w:pPr>
        <w:pStyle w:val="TOC4"/>
        <w:rPr>
          <w:rFonts w:eastAsiaTheme="minorEastAsia"/>
          <w:smallCaps w:val="0"/>
          <w:noProof/>
          <w:kern w:val="2"/>
          <w:sz w:val="24"/>
          <w:szCs w:val="24"/>
          <w:lang w:val="en-US" w:eastAsia="en-US" w:bidi="ar-SA"/>
          <w14:ligatures w14:val="standardContextual"/>
        </w:rPr>
      </w:pPr>
      <w:hyperlink w:anchor="_Toc182409620" w:history="1">
        <w:r w:rsidRPr="00BA2351">
          <w:rPr>
            <w:rStyle w:val="Hyperlink"/>
            <w:noProof/>
          </w:rPr>
          <w:t>Gateway de Aplicação</w:t>
        </w:r>
        <w:r>
          <w:rPr>
            <w:noProof/>
            <w:webHidden/>
          </w:rPr>
          <w:tab/>
        </w:r>
        <w:r>
          <w:rPr>
            <w:noProof/>
            <w:webHidden/>
          </w:rPr>
          <w:fldChar w:fldCharType="begin"/>
        </w:r>
        <w:r>
          <w:rPr>
            <w:noProof/>
            <w:webHidden/>
          </w:rPr>
          <w:instrText xml:space="preserve"> PAGEREF _Toc182409620 \h </w:instrText>
        </w:r>
        <w:r>
          <w:rPr>
            <w:noProof/>
            <w:webHidden/>
          </w:rPr>
        </w:r>
        <w:r>
          <w:rPr>
            <w:noProof/>
            <w:webHidden/>
          </w:rPr>
          <w:fldChar w:fldCharType="separate"/>
        </w:r>
        <w:r>
          <w:rPr>
            <w:noProof/>
            <w:webHidden/>
          </w:rPr>
          <w:t>27</w:t>
        </w:r>
        <w:r>
          <w:rPr>
            <w:noProof/>
            <w:webHidden/>
          </w:rPr>
          <w:fldChar w:fldCharType="end"/>
        </w:r>
      </w:hyperlink>
    </w:p>
    <w:p w14:paraId="46CB0B42" w14:textId="595F7729" w:rsidR="006D5705" w:rsidRDefault="006D5705">
      <w:pPr>
        <w:pStyle w:val="TOC4"/>
        <w:rPr>
          <w:rFonts w:eastAsiaTheme="minorEastAsia"/>
          <w:smallCaps w:val="0"/>
          <w:noProof/>
          <w:kern w:val="2"/>
          <w:sz w:val="24"/>
          <w:szCs w:val="24"/>
          <w:lang w:val="en-US" w:eastAsia="en-US" w:bidi="ar-SA"/>
          <w14:ligatures w14:val="standardContextual"/>
        </w:rPr>
      </w:pPr>
      <w:hyperlink w:anchor="_Toc182409621" w:history="1">
        <w:r w:rsidRPr="00BA2351">
          <w:rPr>
            <w:rStyle w:val="Hyperlink"/>
            <w:noProof/>
          </w:rPr>
          <w:t>Gateway de Aplicação para Contentores</w:t>
        </w:r>
        <w:r>
          <w:rPr>
            <w:noProof/>
            <w:webHidden/>
          </w:rPr>
          <w:tab/>
        </w:r>
        <w:r>
          <w:rPr>
            <w:noProof/>
            <w:webHidden/>
          </w:rPr>
          <w:fldChar w:fldCharType="begin"/>
        </w:r>
        <w:r>
          <w:rPr>
            <w:noProof/>
            <w:webHidden/>
          </w:rPr>
          <w:instrText xml:space="preserve"> PAGEREF _Toc182409621 \h </w:instrText>
        </w:r>
        <w:r>
          <w:rPr>
            <w:noProof/>
            <w:webHidden/>
          </w:rPr>
        </w:r>
        <w:r>
          <w:rPr>
            <w:noProof/>
            <w:webHidden/>
          </w:rPr>
          <w:fldChar w:fldCharType="separate"/>
        </w:r>
        <w:r>
          <w:rPr>
            <w:noProof/>
            <w:webHidden/>
          </w:rPr>
          <w:t>27</w:t>
        </w:r>
        <w:r>
          <w:rPr>
            <w:noProof/>
            <w:webHidden/>
          </w:rPr>
          <w:fldChar w:fldCharType="end"/>
        </w:r>
      </w:hyperlink>
    </w:p>
    <w:p w14:paraId="767BAE34" w14:textId="3E8554FE" w:rsidR="006D5705" w:rsidRDefault="006D5705">
      <w:pPr>
        <w:pStyle w:val="TOC4"/>
        <w:rPr>
          <w:rFonts w:eastAsiaTheme="minorEastAsia"/>
          <w:smallCaps w:val="0"/>
          <w:noProof/>
          <w:kern w:val="2"/>
          <w:sz w:val="24"/>
          <w:szCs w:val="24"/>
          <w:lang w:val="en-US" w:eastAsia="en-US" w:bidi="ar-SA"/>
          <w14:ligatures w14:val="standardContextual"/>
        </w:rPr>
      </w:pPr>
      <w:hyperlink w:anchor="_Toc182409622" w:history="1">
        <w:r w:rsidRPr="00BA2351">
          <w:rPr>
            <w:rStyle w:val="Hyperlink"/>
            <w:noProof/>
          </w:rPr>
          <w:t>Application Insights</w:t>
        </w:r>
        <w:r>
          <w:rPr>
            <w:noProof/>
            <w:webHidden/>
          </w:rPr>
          <w:tab/>
        </w:r>
        <w:r>
          <w:rPr>
            <w:noProof/>
            <w:webHidden/>
          </w:rPr>
          <w:fldChar w:fldCharType="begin"/>
        </w:r>
        <w:r>
          <w:rPr>
            <w:noProof/>
            <w:webHidden/>
          </w:rPr>
          <w:instrText xml:space="preserve"> PAGEREF _Toc182409622 \h </w:instrText>
        </w:r>
        <w:r>
          <w:rPr>
            <w:noProof/>
            <w:webHidden/>
          </w:rPr>
        </w:r>
        <w:r>
          <w:rPr>
            <w:noProof/>
            <w:webHidden/>
          </w:rPr>
          <w:fldChar w:fldCharType="separate"/>
        </w:r>
        <w:r>
          <w:rPr>
            <w:noProof/>
            <w:webHidden/>
          </w:rPr>
          <w:t>28</w:t>
        </w:r>
        <w:r>
          <w:rPr>
            <w:noProof/>
            <w:webHidden/>
          </w:rPr>
          <w:fldChar w:fldCharType="end"/>
        </w:r>
      </w:hyperlink>
    </w:p>
    <w:p w14:paraId="01D6E8D2" w14:textId="38490318" w:rsidR="006D5705" w:rsidRDefault="006D5705">
      <w:pPr>
        <w:pStyle w:val="TOC4"/>
        <w:rPr>
          <w:rFonts w:eastAsiaTheme="minorEastAsia"/>
          <w:smallCaps w:val="0"/>
          <w:noProof/>
          <w:kern w:val="2"/>
          <w:sz w:val="24"/>
          <w:szCs w:val="24"/>
          <w:lang w:val="en-US" w:eastAsia="en-US" w:bidi="ar-SA"/>
          <w14:ligatures w14:val="standardContextual"/>
        </w:rPr>
      </w:pPr>
      <w:hyperlink w:anchor="_Toc182409623" w:history="1">
        <w:r w:rsidRPr="00BA2351">
          <w:rPr>
            <w:rStyle w:val="Hyperlink"/>
            <w:noProof/>
          </w:rPr>
          <w:t>Azure Applied AI Services</w:t>
        </w:r>
        <w:r>
          <w:rPr>
            <w:noProof/>
            <w:webHidden/>
          </w:rPr>
          <w:tab/>
        </w:r>
        <w:r>
          <w:rPr>
            <w:noProof/>
            <w:webHidden/>
          </w:rPr>
          <w:fldChar w:fldCharType="begin"/>
        </w:r>
        <w:r>
          <w:rPr>
            <w:noProof/>
            <w:webHidden/>
          </w:rPr>
          <w:instrText xml:space="preserve"> PAGEREF _Toc182409623 \h </w:instrText>
        </w:r>
        <w:r>
          <w:rPr>
            <w:noProof/>
            <w:webHidden/>
          </w:rPr>
        </w:r>
        <w:r>
          <w:rPr>
            <w:noProof/>
            <w:webHidden/>
          </w:rPr>
          <w:fldChar w:fldCharType="separate"/>
        </w:r>
        <w:r>
          <w:rPr>
            <w:noProof/>
            <w:webHidden/>
          </w:rPr>
          <w:t>28</w:t>
        </w:r>
        <w:r>
          <w:rPr>
            <w:noProof/>
            <w:webHidden/>
          </w:rPr>
          <w:fldChar w:fldCharType="end"/>
        </w:r>
      </w:hyperlink>
    </w:p>
    <w:p w14:paraId="2CAE715E" w14:textId="4FD5C65F" w:rsidR="006D5705" w:rsidRDefault="006D5705">
      <w:pPr>
        <w:pStyle w:val="TOC4"/>
        <w:rPr>
          <w:rFonts w:eastAsiaTheme="minorEastAsia"/>
          <w:smallCaps w:val="0"/>
          <w:noProof/>
          <w:kern w:val="2"/>
          <w:sz w:val="24"/>
          <w:szCs w:val="24"/>
          <w:lang w:val="en-US" w:eastAsia="en-US" w:bidi="ar-SA"/>
          <w14:ligatures w14:val="standardContextual"/>
        </w:rPr>
      </w:pPr>
      <w:hyperlink w:anchor="_Toc182409624" w:history="1">
        <w:r w:rsidRPr="00BA2351">
          <w:rPr>
            <w:rStyle w:val="Hyperlink"/>
            <w:noProof/>
          </w:rPr>
          <w:t>Azure Arc</w:t>
        </w:r>
        <w:r>
          <w:rPr>
            <w:noProof/>
            <w:webHidden/>
          </w:rPr>
          <w:tab/>
        </w:r>
        <w:r>
          <w:rPr>
            <w:noProof/>
            <w:webHidden/>
          </w:rPr>
          <w:fldChar w:fldCharType="begin"/>
        </w:r>
        <w:r>
          <w:rPr>
            <w:noProof/>
            <w:webHidden/>
          </w:rPr>
          <w:instrText xml:space="preserve"> PAGEREF _Toc182409624 \h </w:instrText>
        </w:r>
        <w:r>
          <w:rPr>
            <w:noProof/>
            <w:webHidden/>
          </w:rPr>
        </w:r>
        <w:r>
          <w:rPr>
            <w:noProof/>
            <w:webHidden/>
          </w:rPr>
          <w:fldChar w:fldCharType="separate"/>
        </w:r>
        <w:r>
          <w:rPr>
            <w:noProof/>
            <w:webHidden/>
          </w:rPr>
          <w:t>28</w:t>
        </w:r>
        <w:r>
          <w:rPr>
            <w:noProof/>
            <w:webHidden/>
          </w:rPr>
          <w:fldChar w:fldCharType="end"/>
        </w:r>
      </w:hyperlink>
    </w:p>
    <w:p w14:paraId="3B3FFC04" w14:textId="153E8698" w:rsidR="006D5705" w:rsidRDefault="006D5705">
      <w:pPr>
        <w:pStyle w:val="TOC4"/>
        <w:rPr>
          <w:rFonts w:eastAsiaTheme="minorEastAsia"/>
          <w:smallCaps w:val="0"/>
          <w:noProof/>
          <w:kern w:val="2"/>
          <w:sz w:val="24"/>
          <w:szCs w:val="24"/>
          <w:lang w:val="en-US" w:eastAsia="en-US" w:bidi="ar-SA"/>
          <w14:ligatures w14:val="standardContextual"/>
        </w:rPr>
      </w:pPr>
      <w:hyperlink w:anchor="_Toc182409625" w:history="1">
        <w:r w:rsidRPr="00BA2351">
          <w:rPr>
            <w:rStyle w:val="Hyperlink"/>
            <w:noProof/>
          </w:rPr>
          <w:t>Automatização</w:t>
        </w:r>
        <w:r>
          <w:rPr>
            <w:noProof/>
            <w:webHidden/>
          </w:rPr>
          <w:tab/>
        </w:r>
        <w:r>
          <w:rPr>
            <w:noProof/>
            <w:webHidden/>
          </w:rPr>
          <w:fldChar w:fldCharType="begin"/>
        </w:r>
        <w:r>
          <w:rPr>
            <w:noProof/>
            <w:webHidden/>
          </w:rPr>
          <w:instrText xml:space="preserve"> PAGEREF _Toc182409625 \h </w:instrText>
        </w:r>
        <w:r>
          <w:rPr>
            <w:noProof/>
            <w:webHidden/>
          </w:rPr>
        </w:r>
        <w:r>
          <w:rPr>
            <w:noProof/>
            <w:webHidden/>
          </w:rPr>
          <w:fldChar w:fldCharType="separate"/>
        </w:r>
        <w:r>
          <w:rPr>
            <w:noProof/>
            <w:webHidden/>
          </w:rPr>
          <w:t>29</w:t>
        </w:r>
        <w:r>
          <w:rPr>
            <w:noProof/>
            <w:webHidden/>
          </w:rPr>
          <w:fldChar w:fldCharType="end"/>
        </w:r>
      </w:hyperlink>
    </w:p>
    <w:p w14:paraId="20B40045" w14:textId="15B096D3" w:rsidR="006D5705" w:rsidRDefault="006D5705">
      <w:pPr>
        <w:pStyle w:val="TOC4"/>
        <w:rPr>
          <w:rFonts w:eastAsiaTheme="minorEastAsia"/>
          <w:smallCaps w:val="0"/>
          <w:noProof/>
          <w:kern w:val="2"/>
          <w:sz w:val="24"/>
          <w:szCs w:val="24"/>
          <w:lang w:val="en-US" w:eastAsia="en-US" w:bidi="ar-SA"/>
          <w14:ligatures w14:val="standardContextual"/>
        </w:rPr>
      </w:pPr>
      <w:hyperlink w:anchor="_Toc182409626" w:history="1">
        <w:r w:rsidRPr="00BA2351">
          <w:rPr>
            <w:rStyle w:val="Hyperlink"/>
            <w:noProof/>
          </w:rPr>
          <w:t>Azure Backup</w:t>
        </w:r>
        <w:r>
          <w:rPr>
            <w:noProof/>
            <w:webHidden/>
          </w:rPr>
          <w:tab/>
        </w:r>
        <w:r>
          <w:rPr>
            <w:noProof/>
            <w:webHidden/>
          </w:rPr>
          <w:fldChar w:fldCharType="begin"/>
        </w:r>
        <w:r>
          <w:rPr>
            <w:noProof/>
            <w:webHidden/>
          </w:rPr>
          <w:instrText xml:space="preserve"> PAGEREF _Toc182409626 \h </w:instrText>
        </w:r>
        <w:r>
          <w:rPr>
            <w:noProof/>
            <w:webHidden/>
          </w:rPr>
        </w:r>
        <w:r>
          <w:rPr>
            <w:noProof/>
            <w:webHidden/>
          </w:rPr>
          <w:fldChar w:fldCharType="separate"/>
        </w:r>
        <w:r>
          <w:rPr>
            <w:noProof/>
            <w:webHidden/>
          </w:rPr>
          <w:t>30</w:t>
        </w:r>
        <w:r>
          <w:rPr>
            <w:noProof/>
            <w:webHidden/>
          </w:rPr>
          <w:fldChar w:fldCharType="end"/>
        </w:r>
      </w:hyperlink>
    </w:p>
    <w:p w14:paraId="347B103D" w14:textId="2B6A93B1" w:rsidR="006D5705" w:rsidRDefault="006D5705">
      <w:pPr>
        <w:pStyle w:val="TOC4"/>
        <w:rPr>
          <w:rFonts w:eastAsiaTheme="minorEastAsia"/>
          <w:smallCaps w:val="0"/>
          <w:noProof/>
          <w:kern w:val="2"/>
          <w:sz w:val="24"/>
          <w:szCs w:val="24"/>
          <w:lang w:val="en-US" w:eastAsia="en-US" w:bidi="ar-SA"/>
          <w14:ligatures w14:val="standardContextual"/>
        </w:rPr>
      </w:pPr>
      <w:hyperlink w:anchor="_Toc182409627" w:history="1">
        <w:r w:rsidRPr="00BA2351">
          <w:rPr>
            <w:rStyle w:val="Hyperlink"/>
            <w:noProof/>
          </w:rPr>
          <w:t>Azure Bastion</w:t>
        </w:r>
        <w:r>
          <w:rPr>
            <w:noProof/>
            <w:webHidden/>
          </w:rPr>
          <w:tab/>
        </w:r>
        <w:r>
          <w:rPr>
            <w:noProof/>
            <w:webHidden/>
          </w:rPr>
          <w:fldChar w:fldCharType="begin"/>
        </w:r>
        <w:r>
          <w:rPr>
            <w:noProof/>
            <w:webHidden/>
          </w:rPr>
          <w:instrText xml:space="preserve"> PAGEREF _Toc182409627 \h </w:instrText>
        </w:r>
        <w:r>
          <w:rPr>
            <w:noProof/>
            <w:webHidden/>
          </w:rPr>
        </w:r>
        <w:r>
          <w:rPr>
            <w:noProof/>
            <w:webHidden/>
          </w:rPr>
          <w:fldChar w:fldCharType="separate"/>
        </w:r>
        <w:r>
          <w:rPr>
            <w:noProof/>
            <w:webHidden/>
          </w:rPr>
          <w:t>30</w:t>
        </w:r>
        <w:r>
          <w:rPr>
            <w:noProof/>
            <w:webHidden/>
          </w:rPr>
          <w:fldChar w:fldCharType="end"/>
        </w:r>
      </w:hyperlink>
    </w:p>
    <w:p w14:paraId="702ABE56" w14:textId="2D0B7E89" w:rsidR="006D5705" w:rsidRDefault="006D5705">
      <w:pPr>
        <w:pStyle w:val="TOC4"/>
        <w:rPr>
          <w:rFonts w:eastAsiaTheme="minorEastAsia"/>
          <w:smallCaps w:val="0"/>
          <w:noProof/>
          <w:kern w:val="2"/>
          <w:sz w:val="24"/>
          <w:szCs w:val="24"/>
          <w:lang w:val="en-US" w:eastAsia="en-US" w:bidi="ar-SA"/>
          <w14:ligatures w14:val="standardContextual"/>
        </w:rPr>
      </w:pPr>
      <w:hyperlink w:anchor="_Toc182409628" w:history="1">
        <w:r w:rsidRPr="00BA2351">
          <w:rPr>
            <w:rStyle w:val="Hyperlink"/>
            <w:noProof/>
          </w:rPr>
          <w:t>Batch</w:t>
        </w:r>
        <w:r>
          <w:rPr>
            <w:noProof/>
            <w:webHidden/>
          </w:rPr>
          <w:tab/>
        </w:r>
        <w:r>
          <w:rPr>
            <w:noProof/>
            <w:webHidden/>
          </w:rPr>
          <w:fldChar w:fldCharType="begin"/>
        </w:r>
        <w:r>
          <w:rPr>
            <w:noProof/>
            <w:webHidden/>
          </w:rPr>
          <w:instrText xml:space="preserve"> PAGEREF _Toc182409628 \h </w:instrText>
        </w:r>
        <w:r>
          <w:rPr>
            <w:noProof/>
            <w:webHidden/>
          </w:rPr>
        </w:r>
        <w:r>
          <w:rPr>
            <w:noProof/>
            <w:webHidden/>
          </w:rPr>
          <w:fldChar w:fldCharType="separate"/>
        </w:r>
        <w:r>
          <w:rPr>
            <w:noProof/>
            <w:webHidden/>
          </w:rPr>
          <w:t>31</w:t>
        </w:r>
        <w:r>
          <w:rPr>
            <w:noProof/>
            <w:webHidden/>
          </w:rPr>
          <w:fldChar w:fldCharType="end"/>
        </w:r>
      </w:hyperlink>
    </w:p>
    <w:p w14:paraId="32D4E2B4" w14:textId="7CAE1957" w:rsidR="006D5705" w:rsidRDefault="006D5705">
      <w:pPr>
        <w:pStyle w:val="TOC4"/>
        <w:rPr>
          <w:rFonts w:eastAsiaTheme="minorEastAsia"/>
          <w:smallCaps w:val="0"/>
          <w:noProof/>
          <w:kern w:val="2"/>
          <w:sz w:val="24"/>
          <w:szCs w:val="24"/>
          <w:lang w:val="en-US" w:eastAsia="en-US" w:bidi="ar-SA"/>
          <w14:ligatures w14:val="standardContextual"/>
        </w:rPr>
      </w:pPr>
      <w:hyperlink w:anchor="_Toc182409629" w:history="1">
        <w:r w:rsidRPr="00BA2351">
          <w:rPr>
            <w:rStyle w:val="Hyperlink"/>
            <w:noProof/>
          </w:rPr>
          <w:t>Serviços BizTalk</w:t>
        </w:r>
        <w:r>
          <w:rPr>
            <w:noProof/>
            <w:webHidden/>
          </w:rPr>
          <w:tab/>
        </w:r>
        <w:r>
          <w:rPr>
            <w:noProof/>
            <w:webHidden/>
          </w:rPr>
          <w:fldChar w:fldCharType="begin"/>
        </w:r>
        <w:r>
          <w:rPr>
            <w:noProof/>
            <w:webHidden/>
          </w:rPr>
          <w:instrText xml:space="preserve"> PAGEREF _Toc182409629 \h </w:instrText>
        </w:r>
        <w:r>
          <w:rPr>
            <w:noProof/>
            <w:webHidden/>
          </w:rPr>
        </w:r>
        <w:r>
          <w:rPr>
            <w:noProof/>
            <w:webHidden/>
          </w:rPr>
          <w:fldChar w:fldCharType="separate"/>
        </w:r>
        <w:r>
          <w:rPr>
            <w:noProof/>
            <w:webHidden/>
          </w:rPr>
          <w:t>31</w:t>
        </w:r>
        <w:r>
          <w:rPr>
            <w:noProof/>
            <w:webHidden/>
          </w:rPr>
          <w:fldChar w:fldCharType="end"/>
        </w:r>
      </w:hyperlink>
    </w:p>
    <w:p w14:paraId="2C09D7CD" w14:textId="19E3B624" w:rsidR="006D5705" w:rsidRDefault="006D5705">
      <w:pPr>
        <w:pStyle w:val="TOC4"/>
        <w:rPr>
          <w:rFonts w:eastAsiaTheme="minorEastAsia"/>
          <w:smallCaps w:val="0"/>
          <w:noProof/>
          <w:kern w:val="2"/>
          <w:sz w:val="24"/>
          <w:szCs w:val="24"/>
          <w:lang w:val="en-US" w:eastAsia="en-US" w:bidi="ar-SA"/>
          <w14:ligatures w14:val="standardContextual"/>
        </w:rPr>
      </w:pPr>
      <w:hyperlink w:anchor="_Toc182409630" w:history="1">
        <w:r w:rsidRPr="00BA2351">
          <w:rPr>
            <w:rStyle w:val="Hyperlink"/>
            <w:noProof/>
          </w:rPr>
          <w:t>Azure Bot Service</w:t>
        </w:r>
        <w:r>
          <w:rPr>
            <w:noProof/>
            <w:webHidden/>
          </w:rPr>
          <w:tab/>
        </w:r>
        <w:r>
          <w:rPr>
            <w:noProof/>
            <w:webHidden/>
          </w:rPr>
          <w:fldChar w:fldCharType="begin"/>
        </w:r>
        <w:r>
          <w:rPr>
            <w:noProof/>
            <w:webHidden/>
          </w:rPr>
          <w:instrText xml:space="preserve"> PAGEREF _Toc182409630 \h </w:instrText>
        </w:r>
        <w:r>
          <w:rPr>
            <w:noProof/>
            <w:webHidden/>
          </w:rPr>
        </w:r>
        <w:r>
          <w:rPr>
            <w:noProof/>
            <w:webHidden/>
          </w:rPr>
          <w:fldChar w:fldCharType="separate"/>
        </w:r>
        <w:r>
          <w:rPr>
            <w:noProof/>
            <w:webHidden/>
          </w:rPr>
          <w:t>32</w:t>
        </w:r>
        <w:r>
          <w:rPr>
            <w:noProof/>
            <w:webHidden/>
          </w:rPr>
          <w:fldChar w:fldCharType="end"/>
        </w:r>
      </w:hyperlink>
    </w:p>
    <w:p w14:paraId="10A8A719" w14:textId="626A10B8" w:rsidR="006D5705" w:rsidRDefault="006D5705">
      <w:pPr>
        <w:pStyle w:val="TOC4"/>
        <w:rPr>
          <w:rFonts w:eastAsiaTheme="minorEastAsia"/>
          <w:smallCaps w:val="0"/>
          <w:noProof/>
          <w:kern w:val="2"/>
          <w:sz w:val="24"/>
          <w:szCs w:val="24"/>
          <w:lang w:val="en-US" w:eastAsia="en-US" w:bidi="ar-SA"/>
          <w14:ligatures w14:val="standardContextual"/>
        </w:rPr>
      </w:pPr>
      <w:hyperlink w:anchor="_Toc182409631" w:history="1">
        <w:r w:rsidRPr="00BA2351">
          <w:rPr>
            <w:rStyle w:val="Hyperlink"/>
            <w:noProof/>
          </w:rPr>
          <w:t>Cache do Azure para Redis</w:t>
        </w:r>
        <w:r>
          <w:rPr>
            <w:noProof/>
            <w:webHidden/>
          </w:rPr>
          <w:tab/>
        </w:r>
        <w:r>
          <w:rPr>
            <w:noProof/>
            <w:webHidden/>
          </w:rPr>
          <w:fldChar w:fldCharType="begin"/>
        </w:r>
        <w:r>
          <w:rPr>
            <w:noProof/>
            <w:webHidden/>
          </w:rPr>
          <w:instrText xml:space="preserve"> PAGEREF _Toc182409631 \h </w:instrText>
        </w:r>
        <w:r>
          <w:rPr>
            <w:noProof/>
            <w:webHidden/>
          </w:rPr>
        </w:r>
        <w:r>
          <w:rPr>
            <w:noProof/>
            <w:webHidden/>
          </w:rPr>
          <w:fldChar w:fldCharType="separate"/>
        </w:r>
        <w:r>
          <w:rPr>
            <w:noProof/>
            <w:webHidden/>
          </w:rPr>
          <w:t>32</w:t>
        </w:r>
        <w:r>
          <w:rPr>
            <w:noProof/>
            <w:webHidden/>
          </w:rPr>
          <w:fldChar w:fldCharType="end"/>
        </w:r>
      </w:hyperlink>
    </w:p>
    <w:p w14:paraId="311F1278" w14:textId="40FEF1F7" w:rsidR="006D5705" w:rsidRDefault="006D5705">
      <w:pPr>
        <w:pStyle w:val="TOC4"/>
        <w:rPr>
          <w:rFonts w:eastAsiaTheme="minorEastAsia"/>
          <w:smallCaps w:val="0"/>
          <w:noProof/>
          <w:kern w:val="2"/>
          <w:sz w:val="24"/>
          <w:szCs w:val="24"/>
          <w:lang w:val="en-US" w:eastAsia="en-US" w:bidi="ar-SA"/>
          <w14:ligatures w14:val="standardContextual"/>
        </w:rPr>
      </w:pPr>
      <w:hyperlink w:anchor="_Toc182409632" w:history="1">
        <w:r w:rsidRPr="00BA2351">
          <w:rPr>
            <w:rStyle w:val="Hyperlink"/>
            <w:noProof/>
          </w:rPr>
          <w:t>Azure Chaos Studio</w:t>
        </w:r>
        <w:r>
          <w:rPr>
            <w:noProof/>
            <w:webHidden/>
          </w:rPr>
          <w:tab/>
        </w:r>
        <w:r>
          <w:rPr>
            <w:noProof/>
            <w:webHidden/>
          </w:rPr>
          <w:fldChar w:fldCharType="begin"/>
        </w:r>
        <w:r>
          <w:rPr>
            <w:noProof/>
            <w:webHidden/>
          </w:rPr>
          <w:instrText xml:space="preserve"> PAGEREF _Toc182409632 \h </w:instrText>
        </w:r>
        <w:r>
          <w:rPr>
            <w:noProof/>
            <w:webHidden/>
          </w:rPr>
        </w:r>
        <w:r>
          <w:rPr>
            <w:noProof/>
            <w:webHidden/>
          </w:rPr>
          <w:fldChar w:fldCharType="separate"/>
        </w:r>
        <w:r>
          <w:rPr>
            <w:noProof/>
            <w:webHidden/>
          </w:rPr>
          <w:t>33</w:t>
        </w:r>
        <w:r>
          <w:rPr>
            <w:noProof/>
            <w:webHidden/>
          </w:rPr>
          <w:fldChar w:fldCharType="end"/>
        </w:r>
      </w:hyperlink>
    </w:p>
    <w:p w14:paraId="10145BC4" w14:textId="26C65209" w:rsidR="006D5705" w:rsidRDefault="006D5705">
      <w:pPr>
        <w:pStyle w:val="TOC4"/>
        <w:rPr>
          <w:rFonts w:eastAsiaTheme="minorEastAsia"/>
          <w:smallCaps w:val="0"/>
          <w:noProof/>
          <w:kern w:val="2"/>
          <w:sz w:val="24"/>
          <w:szCs w:val="24"/>
          <w:lang w:val="en-US" w:eastAsia="en-US" w:bidi="ar-SA"/>
          <w14:ligatures w14:val="standardContextual"/>
        </w:rPr>
      </w:pPr>
      <w:hyperlink w:anchor="_Toc182409633" w:history="1">
        <w:r w:rsidRPr="00BA2351">
          <w:rPr>
            <w:rStyle w:val="Hyperlink"/>
            <w:noProof/>
          </w:rPr>
          <w:t>Serviços em Nuvem</w:t>
        </w:r>
        <w:r>
          <w:rPr>
            <w:noProof/>
            <w:webHidden/>
          </w:rPr>
          <w:tab/>
        </w:r>
        <w:r>
          <w:rPr>
            <w:noProof/>
            <w:webHidden/>
          </w:rPr>
          <w:fldChar w:fldCharType="begin"/>
        </w:r>
        <w:r>
          <w:rPr>
            <w:noProof/>
            <w:webHidden/>
          </w:rPr>
          <w:instrText xml:space="preserve"> PAGEREF _Toc182409633 \h </w:instrText>
        </w:r>
        <w:r>
          <w:rPr>
            <w:noProof/>
            <w:webHidden/>
          </w:rPr>
        </w:r>
        <w:r>
          <w:rPr>
            <w:noProof/>
            <w:webHidden/>
          </w:rPr>
          <w:fldChar w:fldCharType="separate"/>
        </w:r>
        <w:r>
          <w:rPr>
            <w:noProof/>
            <w:webHidden/>
          </w:rPr>
          <w:t>34</w:t>
        </w:r>
        <w:r>
          <w:rPr>
            <w:noProof/>
            <w:webHidden/>
          </w:rPr>
          <w:fldChar w:fldCharType="end"/>
        </w:r>
      </w:hyperlink>
    </w:p>
    <w:p w14:paraId="78111D54" w14:textId="0DA1F88B" w:rsidR="006D5705" w:rsidRDefault="006D5705">
      <w:pPr>
        <w:pStyle w:val="TOC4"/>
        <w:rPr>
          <w:rFonts w:eastAsiaTheme="minorEastAsia"/>
          <w:smallCaps w:val="0"/>
          <w:noProof/>
          <w:kern w:val="2"/>
          <w:sz w:val="24"/>
          <w:szCs w:val="24"/>
          <w:lang w:val="en-US" w:eastAsia="en-US" w:bidi="ar-SA"/>
          <w14:ligatures w14:val="standardContextual"/>
        </w:rPr>
      </w:pPr>
      <w:hyperlink w:anchor="_Toc182409634" w:history="1">
        <w:r w:rsidRPr="00BA2351">
          <w:rPr>
            <w:rStyle w:val="Hyperlink"/>
            <w:noProof/>
          </w:rPr>
          <w:t>Azure AI Search</w:t>
        </w:r>
        <w:r>
          <w:rPr>
            <w:noProof/>
            <w:webHidden/>
          </w:rPr>
          <w:tab/>
        </w:r>
        <w:r>
          <w:rPr>
            <w:noProof/>
            <w:webHidden/>
          </w:rPr>
          <w:fldChar w:fldCharType="begin"/>
        </w:r>
        <w:r>
          <w:rPr>
            <w:noProof/>
            <w:webHidden/>
          </w:rPr>
          <w:instrText xml:space="preserve"> PAGEREF _Toc182409634 \h </w:instrText>
        </w:r>
        <w:r>
          <w:rPr>
            <w:noProof/>
            <w:webHidden/>
          </w:rPr>
        </w:r>
        <w:r>
          <w:rPr>
            <w:noProof/>
            <w:webHidden/>
          </w:rPr>
          <w:fldChar w:fldCharType="separate"/>
        </w:r>
        <w:r>
          <w:rPr>
            <w:noProof/>
            <w:webHidden/>
          </w:rPr>
          <w:t>34</w:t>
        </w:r>
        <w:r>
          <w:rPr>
            <w:noProof/>
            <w:webHidden/>
          </w:rPr>
          <w:fldChar w:fldCharType="end"/>
        </w:r>
      </w:hyperlink>
    </w:p>
    <w:p w14:paraId="439F2962" w14:textId="67B986C7" w:rsidR="006D5705" w:rsidRDefault="006D5705">
      <w:pPr>
        <w:pStyle w:val="TOC4"/>
        <w:rPr>
          <w:rFonts w:eastAsiaTheme="minorEastAsia"/>
          <w:smallCaps w:val="0"/>
          <w:noProof/>
          <w:kern w:val="2"/>
          <w:sz w:val="24"/>
          <w:szCs w:val="24"/>
          <w:lang w:val="en-US" w:eastAsia="en-US" w:bidi="ar-SA"/>
          <w14:ligatures w14:val="standardContextual"/>
        </w:rPr>
      </w:pPr>
      <w:hyperlink w:anchor="_Toc182409635" w:history="1">
        <w:r w:rsidRPr="00BA2351">
          <w:rPr>
            <w:rStyle w:val="Hyperlink"/>
            <w:noProof/>
          </w:rPr>
          <w:t>Serviços Cognitivos Azure</w:t>
        </w:r>
        <w:r>
          <w:rPr>
            <w:noProof/>
            <w:webHidden/>
          </w:rPr>
          <w:tab/>
        </w:r>
        <w:r>
          <w:rPr>
            <w:noProof/>
            <w:webHidden/>
          </w:rPr>
          <w:fldChar w:fldCharType="begin"/>
        </w:r>
        <w:r>
          <w:rPr>
            <w:noProof/>
            <w:webHidden/>
          </w:rPr>
          <w:instrText xml:space="preserve"> PAGEREF _Toc182409635 \h </w:instrText>
        </w:r>
        <w:r>
          <w:rPr>
            <w:noProof/>
            <w:webHidden/>
          </w:rPr>
        </w:r>
        <w:r>
          <w:rPr>
            <w:noProof/>
            <w:webHidden/>
          </w:rPr>
          <w:fldChar w:fldCharType="separate"/>
        </w:r>
        <w:r>
          <w:rPr>
            <w:noProof/>
            <w:webHidden/>
          </w:rPr>
          <w:t>35</w:t>
        </w:r>
        <w:r>
          <w:rPr>
            <w:noProof/>
            <w:webHidden/>
          </w:rPr>
          <w:fldChar w:fldCharType="end"/>
        </w:r>
      </w:hyperlink>
    </w:p>
    <w:p w14:paraId="4C0376D5" w14:textId="4142727C" w:rsidR="006D5705" w:rsidRDefault="006D5705">
      <w:pPr>
        <w:pStyle w:val="TOC4"/>
        <w:rPr>
          <w:rFonts w:eastAsiaTheme="minorEastAsia"/>
          <w:smallCaps w:val="0"/>
          <w:noProof/>
          <w:kern w:val="2"/>
          <w:sz w:val="24"/>
          <w:szCs w:val="24"/>
          <w:lang w:val="en-US" w:eastAsia="en-US" w:bidi="ar-SA"/>
          <w14:ligatures w14:val="standardContextual"/>
        </w:rPr>
      </w:pPr>
      <w:hyperlink w:anchor="_Toc182409636" w:history="1">
        <w:r w:rsidRPr="00BA2351">
          <w:rPr>
            <w:rStyle w:val="Hyperlink"/>
            <w:noProof/>
          </w:rPr>
          <w:t>Azure Communication Gateway</w:t>
        </w:r>
        <w:r>
          <w:rPr>
            <w:noProof/>
            <w:webHidden/>
          </w:rPr>
          <w:tab/>
        </w:r>
        <w:r>
          <w:rPr>
            <w:noProof/>
            <w:webHidden/>
          </w:rPr>
          <w:fldChar w:fldCharType="begin"/>
        </w:r>
        <w:r>
          <w:rPr>
            <w:noProof/>
            <w:webHidden/>
          </w:rPr>
          <w:instrText xml:space="preserve"> PAGEREF _Toc182409636 \h </w:instrText>
        </w:r>
        <w:r>
          <w:rPr>
            <w:noProof/>
            <w:webHidden/>
          </w:rPr>
        </w:r>
        <w:r>
          <w:rPr>
            <w:noProof/>
            <w:webHidden/>
          </w:rPr>
          <w:fldChar w:fldCharType="separate"/>
        </w:r>
        <w:r>
          <w:rPr>
            <w:noProof/>
            <w:webHidden/>
          </w:rPr>
          <w:t>35</w:t>
        </w:r>
        <w:r>
          <w:rPr>
            <w:noProof/>
            <w:webHidden/>
          </w:rPr>
          <w:fldChar w:fldCharType="end"/>
        </w:r>
      </w:hyperlink>
    </w:p>
    <w:p w14:paraId="3BF2A83D" w14:textId="31A1E398" w:rsidR="006D5705" w:rsidRDefault="006D5705">
      <w:pPr>
        <w:pStyle w:val="TOC4"/>
        <w:rPr>
          <w:rFonts w:eastAsiaTheme="minorEastAsia"/>
          <w:smallCaps w:val="0"/>
          <w:noProof/>
          <w:kern w:val="2"/>
          <w:sz w:val="24"/>
          <w:szCs w:val="24"/>
          <w:lang w:val="en-US" w:eastAsia="en-US" w:bidi="ar-SA"/>
          <w14:ligatures w14:val="standardContextual"/>
        </w:rPr>
      </w:pPr>
      <w:hyperlink w:anchor="_Toc182409637" w:history="1">
        <w:r w:rsidRPr="00BA2351">
          <w:rPr>
            <w:rStyle w:val="Hyperlink"/>
            <w:noProof/>
          </w:rPr>
          <w:t>Azure Communication Services</w:t>
        </w:r>
        <w:r>
          <w:rPr>
            <w:noProof/>
            <w:webHidden/>
          </w:rPr>
          <w:tab/>
        </w:r>
        <w:r>
          <w:rPr>
            <w:noProof/>
            <w:webHidden/>
          </w:rPr>
          <w:fldChar w:fldCharType="begin"/>
        </w:r>
        <w:r>
          <w:rPr>
            <w:noProof/>
            <w:webHidden/>
          </w:rPr>
          <w:instrText xml:space="preserve"> PAGEREF _Toc182409637 \h </w:instrText>
        </w:r>
        <w:r>
          <w:rPr>
            <w:noProof/>
            <w:webHidden/>
          </w:rPr>
        </w:r>
        <w:r>
          <w:rPr>
            <w:noProof/>
            <w:webHidden/>
          </w:rPr>
          <w:fldChar w:fldCharType="separate"/>
        </w:r>
        <w:r>
          <w:rPr>
            <w:noProof/>
            <w:webHidden/>
          </w:rPr>
          <w:t>36</w:t>
        </w:r>
        <w:r>
          <w:rPr>
            <w:noProof/>
            <w:webHidden/>
          </w:rPr>
          <w:fldChar w:fldCharType="end"/>
        </w:r>
      </w:hyperlink>
    </w:p>
    <w:p w14:paraId="672D0459" w14:textId="5A9CEA07" w:rsidR="006D5705" w:rsidRDefault="006D5705">
      <w:pPr>
        <w:pStyle w:val="TOC4"/>
        <w:rPr>
          <w:rFonts w:eastAsiaTheme="minorEastAsia"/>
          <w:smallCaps w:val="0"/>
          <w:noProof/>
          <w:kern w:val="2"/>
          <w:sz w:val="24"/>
          <w:szCs w:val="24"/>
          <w:lang w:val="en-US" w:eastAsia="en-US" w:bidi="ar-SA"/>
          <w14:ligatures w14:val="standardContextual"/>
        </w:rPr>
      </w:pPr>
      <w:hyperlink w:anchor="_Toc182409638" w:history="1">
        <w:r w:rsidRPr="00BA2351">
          <w:rPr>
            <w:rStyle w:val="Hyperlink"/>
            <w:noProof/>
          </w:rPr>
          <w:t>Azure Confidential Ledger</w:t>
        </w:r>
        <w:r>
          <w:rPr>
            <w:noProof/>
            <w:webHidden/>
          </w:rPr>
          <w:tab/>
        </w:r>
        <w:r>
          <w:rPr>
            <w:noProof/>
            <w:webHidden/>
          </w:rPr>
          <w:fldChar w:fldCharType="begin"/>
        </w:r>
        <w:r>
          <w:rPr>
            <w:noProof/>
            <w:webHidden/>
          </w:rPr>
          <w:instrText xml:space="preserve"> PAGEREF _Toc182409638 \h </w:instrText>
        </w:r>
        <w:r>
          <w:rPr>
            <w:noProof/>
            <w:webHidden/>
          </w:rPr>
        </w:r>
        <w:r>
          <w:rPr>
            <w:noProof/>
            <w:webHidden/>
          </w:rPr>
          <w:fldChar w:fldCharType="separate"/>
        </w:r>
        <w:r>
          <w:rPr>
            <w:noProof/>
            <w:webHidden/>
          </w:rPr>
          <w:t>36</w:t>
        </w:r>
        <w:r>
          <w:rPr>
            <w:noProof/>
            <w:webHidden/>
          </w:rPr>
          <w:fldChar w:fldCharType="end"/>
        </w:r>
      </w:hyperlink>
    </w:p>
    <w:p w14:paraId="450CC284" w14:textId="22373EA9" w:rsidR="006D5705" w:rsidRDefault="006D5705">
      <w:pPr>
        <w:pStyle w:val="TOC4"/>
        <w:rPr>
          <w:rFonts w:eastAsiaTheme="minorEastAsia"/>
          <w:smallCaps w:val="0"/>
          <w:noProof/>
          <w:kern w:val="2"/>
          <w:sz w:val="24"/>
          <w:szCs w:val="24"/>
          <w:lang w:val="en-US" w:eastAsia="en-US" w:bidi="ar-SA"/>
          <w14:ligatures w14:val="standardContextual"/>
        </w:rPr>
      </w:pPr>
      <w:hyperlink w:anchor="_Toc182409639" w:history="1">
        <w:r w:rsidRPr="00BA2351">
          <w:rPr>
            <w:rStyle w:val="Hyperlink"/>
            <w:noProof/>
          </w:rPr>
          <w:t>Azure Container Apps</w:t>
        </w:r>
        <w:r>
          <w:rPr>
            <w:noProof/>
            <w:webHidden/>
          </w:rPr>
          <w:tab/>
        </w:r>
        <w:r>
          <w:rPr>
            <w:noProof/>
            <w:webHidden/>
          </w:rPr>
          <w:fldChar w:fldCharType="begin"/>
        </w:r>
        <w:r>
          <w:rPr>
            <w:noProof/>
            <w:webHidden/>
          </w:rPr>
          <w:instrText xml:space="preserve"> PAGEREF _Toc182409639 \h </w:instrText>
        </w:r>
        <w:r>
          <w:rPr>
            <w:noProof/>
            <w:webHidden/>
          </w:rPr>
        </w:r>
        <w:r>
          <w:rPr>
            <w:noProof/>
            <w:webHidden/>
          </w:rPr>
          <w:fldChar w:fldCharType="separate"/>
        </w:r>
        <w:r>
          <w:rPr>
            <w:noProof/>
            <w:webHidden/>
          </w:rPr>
          <w:t>36</w:t>
        </w:r>
        <w:r>
          <w:rPr>
            <w:noProof/>
            <w:webHidden/>
          </w:rPr>
          <w:fldChar w:fldCharType="end"/>
        </w:r>
      </w:hyperlink>
    </w:p>
    <w:p w14:paraId="158F2948" w14:textId="1A518C12" w:rsidR="006D5705" w:rsidRDefault="006D5705">
      <w:pPr>
        <w:pStyle w:val="TOC4"/>
        <w:rPr>
          <w:rFonts w:eastAsiaTheme="minorEastAsia"/>
          <w:smallCaps w:val="0"/>
          <w:noProof/>
          <w:kern w:val="2"/>
          <w:sz w:val="24"/>
          <w:szCs w:val="24"/>
          <w:lang w:val="en-US" w:eastAsia="en-US" w:bidi="ar-SA"/>
          <w14:ligatures w14:val="standardContextual"/>
        </w:rPr>
      </w:pPr>
      <w:hyperlink w:anchor="_Toc182409640" w:history="1">
        <w:r w:rsidRPr="00BA2351">
          <w:rPr>
            <w:rStyle w:val="Hyperlink"/>
            <w:noProof/>
          </w:rPr>
          <w:t>Azure Container Instances</w:t>
        </w:r>
        <w:r>
          <w:rPr>
            <w:noProof/>
            <w:webHidden/>
          </w:rPr>
          <w:tab/>
        </w:r>
        <w:r>
          <w:rPr>
            <w:noProof/>
            <w:webHidden/>
          </w:rPr>
          <w:fldChar w:fldCharType="begin"/>
        </w:r>
        <w:r>
          <w:rPr>
            <w:noProof/>
            <w:webHidden/>
          </w:rPr>
          <w:instrText xml:space="preserve"> PAGEREF _Toc182409640 \h </w:instrText>
        </w:r>
        <w:r>
          <w:rPr>
            <w:noProof/>
            <w:webHidden/>
          </w:rPr>
        </w:r>
        <w:r>
          <w:rPr>
            <w:noProof/>
            <w:webHidden/>
          </w:rPr>
          <w:fldChar w:fldCharType="separate"/>
        </w:r>
        <w:r>
          <w:rPr>
            <w:noProof/>
            <w:webHidden/>
          </w:rPr>
          <w:t>37</w:t>
        </w:r>
        <w:r>
          <w:rPr>
            <w:noProof/>
            <w:webHidden/>
          </w:rPr>
          <w:fldChar w:fldCharType="end"/>
        </w:r>
      </w:hyperlink>
    </w:p>
    <w:p w14:paraId="302F7524" w14:textId="39376E70" w:rsidR="006D5705" w:rsidRDefault="006D5705">
      <w:pPr>
        <w:pStyle w:val="TOC4"/>
        <w:rPr>
          <w:rFonts w:eastAsiaTheme="minorEastAsia"/>
          <w:smallCaps w:val="0"/>
          <w:noProof/>
          <w:kern w:val="2"/>
          <w:sz w:val="24"/>
          <w:szCs w:val="24"/>
          <w:lang w:val="en-US" w:eastAsia="en-US" w:bidi="ar-SA"/>
          <w14:ligatures w14:val="standardContextual"/>
        </w:rPr>
      </w:pPr>
      <w:hyperlink w:anchor="_Toc182409641" w:history="1">
        <w:r w:rsidRPr="00BA2351">
          <w:rPr>
            <w:rStyle w:val="Hyperlink"/>
            <w:noProof/>
          </w:rPr>
          <w:t>Azure Container Registry</w:t>
        </w:r>
        <w:r>
          <w:rPr>
            <w:noProof/>
            <w:webHidden/>
          </w:rPr>
          <w:tab/>
        </w:r>
        <w:r>
          <w:rPr>
            <w:noProof/>
            <w:webHidden/>
          </w:rPr>
          <w:fldChar w:fldCharType="begin"/>
        </w:r>
        <w:r>
          <w:rPr>
            <w:noProof/>
            <w:webHidden/>
          </w:rPr>
          <w:instrText xml:space="preserve"> PAGEREF _Toc182409641 \h </w:instrText>
        </w:r>
        <w:r>
          <w:rPr>
            <w:noProof/>
            <w:webHidden/>
          </w:rPr>
        </w:r>
        <w:r>
          <w:rPr>
            <w:noProof/>
            <w:webHidden/>
          </w:rPr>
          <w:fldChar w:fldCharType="separate"/>
        </w:r>
        <w:r>
          <w:rPr>
            <w:noProof/>
            <w:webHidden/>
          </w:rPr>
          <w:t>37</w:t>
        </w:r>
        <w:r>
          <w:rPr>
            <w:noProof/>
            <w:webHidden/>
          </w:rPr>
          <w:fldChar w:fldCharType="end"/>
        </w:r>
      </w:hyperlink>
    </w:p>
    <w:p w14:paraId="27ADB295" w14:textId="105656F1" w:rsidR="006D5705" w:rsidRDefault="006D5705">
      <w:pPr>
        <w:pStyle w:val="TOC4"/>
        <w:rPr>
          <w:rFonts w:eastAsiaTheme="minorEastAsia"/>
          <w:smallCaps w:val="0"/>
          <w:noProof/>
          <w:kern w:val="2"/>
          <w:sz w:val="24"/>
          <w:szCs w:val="24"/>
          <w:lang w:val="en-US" w:eastAsia="en-US" w:bidi="ar-SA"/>
          <w14:ligatures w14:val="standardContextual"/>
        </w:rPr>
      </w:pPr>
      <w:hyperlink w:anchor="_Toc182409642" w:history="1">
        <w:r w:rsidRPr="00BA2351">
          <w:rPr>
            <w:rStyle w:val="Hyperlink"/>
            <w:noProof/>
          </w:rPr>
          <w:t>Rede de Distribuição de Conteúdos (CDN)</w:t>
        </w:r>
        <w:r>
          <w:rPr>
            <w:noProof/>
            <w:webHidden/>
          </w:rPr>
          <w:tab/>
        </w:r>
        <w:r>
          <w:rPr>
            <w:noProof/>
            <w:webHidden/>
          </w:rPr>
          <w:fldChar w:fldCharType="begin"/>
        </w:r>
        <w:r>
          <w:rPr>
            <w:noProof/>
            <w:webHidden/>
          </w:rPr>
          <w:instrText xml:space="preserve"> PAGEREF _Toc182409642 \h </w:instrText>
        </w:r>
        <w:r>
          <w:rPr>
            <w:noProof/>
            <w:webHidden/>
          </w:rPr>
        </w:r>
        <w:r>
          <w:rPr>
            <w:noProof/>
            <w:webHidden/>
          </w:rPr>
          <w:fldChar w:fldCharType="separate"/>
        </w:r>
        <w:r>
          <w:rPr>
            <w:noProof/>
            <w:webHidden/>
          </w:rPr>
          <w:t>38</w:t>
        </w:r>
        <w:r>
          <w:rPr>
            <w:noProof/>
            <w:webHidden/>
          </w:rPr>
          <w:fldChar w:fldCharType="end"/>
        </w:r>
      </w:hyperlink>
    </w:p>
    <w:p w14:paraId="4DA8C310" w14:textId="07A470A2" w:rsidR="006D5705" w:rsidRDefault="006D5705">
      <w:pPr>
        <w:pStyle w:val="TOC4"/>
        <w:rPr>
          <w:rFonts w:eastAsiaTheme="minorEastAsia"/>
          <w:smallCaps w:val="0"/>
          <w:noProof/>
          <w:kern w:val="2"/>
          <w:sz w:val="24"/>
          <w:szCs w:val="24"/>
          <w:lang w:val="en-US" w:eastAsia="en-US" w:bidi="ar-SA"/>
          <w14:ligatures w14:val="standardContextual"/>
        </w:rPr>
      </w:pPr>
      <w:hyperlink w:anchor="_Toc182409643" w:history="1">
        <w:r w:rsidRPr="00BA2351">
          <w:rPr>
            <w:rStyle w:val="Hyperlink"/>
            <w:noProof/>
          </w:rPr>
          <w:t>Azure Cosmos DB</w:t>
        </w:r>
        <w:r>
          <w:rPr>
            <w:noProof/>
            <w:webHidden/>
          </w:rPr>
          <w:tab/>
        </w:r>
        <w:r>
          <w:rPr>
            <w:noProof/>
            <w:webHidden/>
          </w:rPr>
          <w:fldChar w:fldCharType="begin"/>
        </w:r>
        <w:r>
          <w:rPr>
            <w:noProof/>
            <w:webHidden/>
          </w:rPr>
          <w:instrText xml:space="preserve"> PAGEREF _Toc182409643 \h </w:instrText>
        </w:r>
        <w:r>
          <w:rPr>
            <w:noProof/>
            <w:webHidden/>
          </w:rPr>
        </w:r>
        <w:r>
          <w:rPr>
            <w:noProof/>
            <w:webHidden/>
          </w:rPr>
          <w:fldChar w:fldCharType="separate"/>
        </w:r>
        <w:r>
          <w:rPr>
            <w:noProof/>
            <w:webHidden/>
          </w:rPr>
          <w:t>38</w:t>
        </w:r>
        <w:r>
          <w:rPr>
            <w:noProof/>
            <w:webHidden/>
          </w:rPr>
          <w:fldChar w:fldCharType="end"/>
        </w:r>
      </w:hyperlink>
    </w:p>
    <w:p w14:paraId="5E501AD9" w14:textId="4AF630E4" w:rsidR="006D5705" w:rsidRDefault="006D5705">
      <w:pPr>
        <w:pStyle w:val="TOC4"/>
        <w:rPr>
          <w:rFonts w:eastAsiaTheme="minorEastAsia"/>
          <w:smallCaps w:val="0"/>
          <w:noProof/>
          <w:kern w:val="2"/>
          <w:sz w:val="24"/>
          <w:szCs w:val="24"/>
          <w:lang w:val="en-US" w:eastAsia="en-US" w:bidi="ar-SA"/>
          <w14:ligatures w14:val="standardContextual"/>
        </w:rPr>
      </w:pPr>
      <w:hyperlink w:anchor="_Toc182409644" w:history="1">
        <w:r w:rsidRPr="00BA2351">
          <w:rPr>
            <w:rStyle w:val="Hyperlink"/>
            <w:noProof/>
          </w:rPr>
          <w:t>Catálogo de Dados</w:t>
        </w:r>
        <w:r>
          <w:rPr>
            <w:noProof/>
            <w:webHidden/>
          </w:rPr>
          <w:tab/>
        </w:r>
        <w:r>
          <w:rPr>
            <w:noProof/>
            <w:webHidden/>
          </w:rPr>
          <w:fldChar w:fldCharType="begin"/>
        </w:r>
        <w:r>
          <w:rPr>
            <w:noProof/>
            <w:webHidden/>
          </w:rPr>
          <w:instrText xml:space="preserve"> PAGEREF _Toc182409644 \h </w:instrText>
        </w:r>
        <w:r>
          <w:rPr>
            <w:noProof/>
            <w:webHidden/>
          </w:rPr>
        </w:r>
        <w:r>
          <w:rPr>
            <w:noProof/>
            <w:webHidden/>
          </w:rPr>
          <w:fldChar w:fldCharType="separate"/>
        </w:r>
        <w:r>
          <w:rPr>
            <w:noProof/>
            <w:webHidden/>
          </w:rPr>
          <w:t>43</w:t>
        </w:r>
        <w:r>
          <w:rPr>
            <w:noProof/>
            <w:webHidden/>
          </w:rPr>
          <w:fldChar w:fldCharType="end"/>
        </w:r>
      </w:hyperlink>
    </w:p>
    <w:p w14:paraId="4222CF19" w14:textId="463C274B" w:rsidR="006D5705" w:rsidRDefault="006D5705">
      <w:pPr>
        <w:pStyle w:val="TOC4"/>
        <w:rPr>
          <w:rFonts w:eastAsiaTheme="minorEastAsia"/>
          <w:smallCaps w:val="0"/>
          <w:noProof/>
          <w:kern w:val="2"/>
          <w:sz w:val="24"/>
          <w:szCs w:val="24"/>
          <w:lang w:val="en-US" w:eastAsia="en-US" w:bidi="ar-SA"/>
          <w14:ligatures w14:val="standardContextual"/>
        </w:rPr>
      </w:pPr>
      <w:hyperlink w:anchor="_Toc182409645" w:history="1">
        <w:r w:rsidRPr="00BA2351">
          <w:rPr>
            <w:rStyle w:val="Hyperlink"/>
            <w:noProof/>
          </w:rPr>
          <w:t>Azure Data Explorer (Kusto)</w:t>
        </w:r>
        <w:r>
          <w:rPr>
            <w:noProof/>
            <w:webHidden/>
          </w:rPr>
          <w:tab/>
        </w:r>
        <w:r>
          <w:rPr>
            <w:noProof/>
            <w:webHidden/>
          </w:rPr>
          <w:fldChar w:fldCharType="begin"/>
        </w:r>
        <w:r>
          <w:rPr>
            <w:noProof/>
            <w:webHidden/>
          </w:rPr>
          <w:instrText xml:space="preserve"> PAGEREF _Toc182409645 \h </w:instrText>
        </w:r>
        <w:r>
          <w:rPr>
            <w:noProof/>
            <w:webHidden/>
          </w:rPr>
        </w:r>
        <w:r>
          <w:rPr>
            <w:noProof/>
            <w:webHidden/>
          </w:rPr>
          <w:fldChar w:fldCharType="separate"/>
        </w:r>
        <w:r>
          <w:rPr>
            <w:noProof/>
            <w:webHidden/>
          </w:rPr>
          <w:t>43</w:t>
        </w:r>
        <w:r>
          <w:rPr>
            <w:noProof/>
            <w:webHidden/>
          </w:rPr>
          <w:fldChar w:fldCharType="end"/>
        </w:r>
      </w:hyperlink>
    </w:p>
    <w:p w14:paraId="4C6FCADF" w14:textId="49F856E1" w:rsidR="006D5705" w:rsidRDefault="006D5705">
      <w:pPr>
        <w:pStyle w:val="TOC4"/>
        <w:rPr>
          <w:rFonts w:eastAsiaTheme="minorEastAsia"/>
          <w:smallCaps w:val="0"/>
          <w:noProof/>
          <w:kern w:val="2"/>
          <w:sz w:val="24"/>
          <w:szCs w:val="24"/>
          <w:lang w:val="en-US" w:eastAsia="en-US" w:bidi="ar-SA"/>
          <w14:ligatures w14:val="standardContextual"/>
        </w:rPr>
      </w:pPr>
      <w:hyperlink w:anchor="_Toc182409646" w:history="1">
        <w:r w:rsidRPr="00BA2351">
          <w:rPr>
            <w:rStyle w:val="Hyperlink"/>
            <w:noProof/>
          </w:rPr>
          <w:t>Azure Data Factory</w:t>
        </w:r>
        <w:r>
          <w:rPr>
            <w:noProof/>
            <w:webHidden/>
          </w:rPr>
          <w:tab/>
        </w:r>
        <w:r>
          <w:rPr>
            <w:noProof/>
            <w:webHidden/>
          </w:rPr>
          <w:fldChar w:fldCharType="begin"/>
        </w:r>
        <w:r>
          <w:rPr>
            <w:noProof/>
            <w:webHidden/>
          </w:rPr>
          <w:instrText xml:space="preserve"> PAGEREF _Toc182409646 \h </w:instrText>
        </w:r>
        <w:r>
          <w:rPr>
            <w:noProof/>
            <w:webHidden/>
          </w:rPr>
        </w:r>
        <w:r>
          <w:rPr>
            <w:noProof/>
            <w:webHidden/>
          </w:rPr>
          <w:fldChar w:fldCharType="separate"/>
        </w:r>
        <w:r>
          <w:rPr>
            <w:noProof/>
            <w:webHidden/>
          </w:rPr>
          <w:t>43</w:t>
        </w:r>
        <w:r>
          <w:rPr>
            <w:noProof/>
            <w:webHidden/>
          </w:rPr>
          <w:fldChar w:fldCharType="end"/>
        </w:r>
      </w:hyperlink>
    </w:p>
    <w:p w14:paraId="77C6B037" w14:textId="5724C2B6" w:rsidR="006D5705" w:rsidRDefault="006D5705">
      <w:pPr>
        <w:pStyle w:val="TOC4"/>
        <w:rPr>
          <w:rFonts w:eastAsiaTheme="minorEastAsia"/>
          <w:smallCaps w:val="0"/>
          <w:noProof/>
          <w:kern w:val="2"/>
          <w:sz w:val="24"/>
          <w:szCs w:val="24"/>
          <w:lang w:val="en-US" w:eastAsia="en-US" w:bidi="ar-SA"/>
          <w14:ligatures w14:val="standardContextual"/>
        </w:rPr>
      </w:pPr>
      <w:hyperlink w:anchor="_Toc182409647" w:history="1">
        <w:r w:rsidRPr="00BA2351">
          <w:rPr>
            <w:rStyle w:val="Hyperlink"/>
            <w:noProof/>
          </w:rPr>
          <w:t>Data Lake Analytics</w:t>
        </w:r>
        <w:r>
          <w:rPr>
            <w:noProof/>
            <w:webHidden/>
          </w:rPr>
          <w:tab/>
        </w:r>
        <w:r>
          <w:rPr>
            <w:noProof/>
            <w:webHidden/>
          </w:rPr>
          <w:fldChar w:fldCharType="begin"/>
        </w:r>
        <w:r>
          <w:rPr>
            <w:noProof/>
            <w:webHidden/>
          </w:rPr>
          <w:instrText xml:space="preserve"> PAGEREF _Toc182409647 \h </w:instrText>
        </w:r>
        <w:r>
          <w:rPr>
            <w:noProof/>
            <w:webHidden/>
          </w:rPr>
        </w:r>
        <w:r>
          <w:rPr>
            <w:noProof/>
            <w:webHidden/>
          </w:rPr>
          <w:fldChar w:fldCharType="separate"/>
        </w:r>
        <w:r>
          <w:rPr>
            <w:noProof/>
            <w:webHidden/>
          </w:rPr>
          <w:t>44</w:t>
        </w:r>
        <w:r>
          <w:rPr>
            <w:noProof/>
            <w:webHidden/>
          </w:rPr>
          <w:fldChar w:fldCharType="end"/>
        </w:r>
      </w:hyperlink>
    </w:p>
    <w:p w14:paraId="1C631AB4" w14:textId="790CDD34" w:rsidR="006D5705" w:rsidRDefault="006D5705">
      <w:pPr>
        <w:pStyle w:val="TOC4"/>
        <w:rPr>
          <w:rFonts w:eastAsiaTheme="minorEastAsia"/>
          <w:smallCaps w:val="0"/>
          <w:noProof/>
          <w:kern w:val="2"/>
          <w:sz w:val="24"/>
          <w:szCs w:val="24"/>
          <w:lang w:val="en-US" w:eastAsia="en-US" w:bidi="ar-SA"/>
          <w14:ligatures w14:val="standardContextual"/>
        </w:rPr>
      </w:pPr>
      <w:hyperlink w:anchor="_Toc182409648" w:history="1">
        <w:r w:rsidRPr="00BA2351">
          <w:rPr>
            <w:rStyle w:val="Hyperlink"/>
            <w:noProof/>
          </w:rPr>
          <w:t>Data Lake Storage Gen1</w:t>
        </w:r>
        <w:r>
          <w:rPr>
            <w:noProof/>
            <w:webHidden/>
          </w:rPr>
          <w:tab/>
        </w:r>
        <w:r>
          <w:rPr>
            <w:noProof/>
            <w:webHidden/>
          </w:rPr>
          <w:fldChar w:fldCharType="begin"/>
        </w:r>
        <w:r>
          <w:rPr>
            <w:noProof/>
            <w:webHidden/>
          </w:rPr>
          <w:instrText xml:space="preserve"> PAGEREF _Toc182409648 \h </w:instrText>
        </w:r>
        <w:r>
          <w:rPr>
            <w:noProof/>
            <w:webHidden/>
          </w:rPr>
        </w:r>
        <w:r>
          <w:rPr>
            <w:noProof/>
            <w:webHidden/>
          </w:rPr>
          <w:fldChar w:fldCharType="separate"/>
        </w:r>
        <w:r>
          <w:rPr>
            <w:noProof/>
            <w:webHidden/>
          </w:rPr>
          <w:t>45</w:t>
        </w:r>
        <w:r>
          <w:rPr>
            <w:noProof/>
            <w:webHidden/>
          </w:rPr>
          <w:fldChar w:fldCharType="end"/>
        </w:r>
      </w:hyperlink>
    </w:p>
    <w:p w14:paraId="21043473" w14:textId="798B7451" w:rsidR="006D5705" w:rsidRDefault="006D5705">
      <w:pPr>
        <w:pStyle w:val="TOC4"/>
        <w:rPr>
          <w:rFonts w:eastAsiaTheme="minorEastAsia"/>
          <w:smallCaps w:val="0"/>
          <w:noProof/>
          <w:kern w:val="2"/>
          <w:sz w:val="24"/>
          <w:szCs w:val="24"/>
          <w:lang w:val="en-US" w:eastAsia="en-US" w:bidi="ar-SA"/>
          <w14:ligatures w14:val="standardContextual"/>
        </w:rPr>
      </w:pPr>
      <w:hyperlink w:anchor="_Toc182409649" w:history="1">
        <w:r w:rsidRPr="00BA2351">
          <w:rPr>
            <w:rStyle w:val="Hyperlink"/>
            <w:noProof/>
          </w:rPr>
          <w:t>Azure Database for MariaDB</w:t>
        </w:r>
        <w:r>
          <w:rPr>
            <w:noProof/>
            <w:webHidden/>
          </w:rPr>
          <w:tab/>
        </w:r>
        <w:r>
          <w:rPr>
            <w:noProof/>
            <w:webHidden/>
          </w:rPr>
          <w:fldChar w:fldCharType="begin"/>
        </w:r>
        <w:r>
          <w:rPr>
            <w:noProof/>
            <w:webHidden/>
          </w:rPr>
          <w:instrText xml:space="preserve"> PAGEREF _Toc182409649 \h </w:instrText>
        </w:r>
        <w:r>
          <w:rPr>
            <w:noProof/>
            <w:webHidden/>
          </w:rPr>
        </w:r>
        <w:r>
          <w:rPr>
            <w:noProof/>
            <w:webHidden/>
          </w:rPr>
          <w:fldChar w:fldCharType="separate"/>
        </w:r>
        <w:r>
          <w:rPr>
            <w:noProof/>
            <w:webHidden/>
          </w:rPr>
          <w:t>45</w:t>
        </w:r>
        <w:r>
          <w:rPr>
            <w:noProof/>
            <w:webHidden/>
          </w:rPr>
          <w:fldChar w:fldCharType="end"/>
        </w:r>
      </w:hyperlink>
    </w:p>
    <w:p w14:paraId="395CD713" w14:textId="22DC6FED" w:rsidR="006D5705" w:rsidRDefault="006D5705">
      <w:pPr>
        <w:pStyle w:val="TOC4"/>
        <w:rPr>
          <w:rFonts w:eastAsiaTheme="minorEastAsia"/>
          <w:smallCaps w:val="0"/>
          <w:noProof/>
          <w:kern w:val="2"/>
          <w:sz w:val="24"/>
          <w:szCs w:val="24"/>
          <w:lang w:val="en-US" w:eastAsia="en-US" w:bidi="ar-SA"/>
          <w14:ligatures w14:val="standardContextual"/>
        </w:rPr>
      </w:pPr>
      <w:hyperlink w:anchor="_Toc182409650" w:history="1">
        <w:r w:rsidRPr="00BA2351">
          <w:rPr>
            <w:rStyle w:val="Hyperlink"/>
            <w:noProof/>
          </w:rPr>
          <w:t>Base de Dados do Azure para MySQL</w:t>
        </w:r>
        <w:r>
          <w:rPr>
            <w:noProof/>
            <w:webHidden/>
          </w:rPr>
          <w:tab/>
        </w:r>
        <w:r>
          <w:rPr>
            <w:noProof/>
            <w:webHidden/>
          </w:rPr>
          <w:fldChar w:fldCharType="begin"/>
        </w:r>
        <w:r>
          <w:rPr>
            <w:noProof/>
            <w:webHidden/>
          </w:rPr>
          <w:instrText xml:space="preserve"> PAGEREF _Toc182409650 \h </w:instrText>
        </w:r>
        <w:r>
          <w:rPr>
            <w:noProof/>
            <w:webHidden/>
          </w:rPr>
        </w:r>
        <w:r>
          <w:rPr>
            <w:noProof/>
            <w:webHidden/>
          </w:rPr>
          <w:fldChar w:fldCharType="separate"/>
        </w:r>
        <w:r>
          <w:rPr>
            <w:noProof/>
            <w:webHidden/>
          </w:rPr>
          <w:t>45</w:t>
        </w:r>
        <w:r>
          <w:rPr>
            <w:noProof/>
            <w:webHidden/>
          </w:rPr>
          <w:fldChar w:fldCharType="end"/>
        </w:r>
      </w:hyperlink>
    </w:p>
    <w:p w14:paraId="39B3CFB1" w14:textId="14F23F9B" w:rsidR="006D5705" w:rsidRDefault="006D5705">
      <w:pPr>
        <w:pStyle w:val="TOC4"/>
        <w:rPr>
          <w:rFonts w:eastAsiaTheme="minorEastAsia"/>
          <w:smallCaps w:val="0"/>
          <w:noProof/>
          <w:kern w:val="2"/>
          <w:sz w:val="24"/>
          <w:szCs w:val="24"/>
          <w:lang w:val="en-US" w:eastAsia="en-US" w:bidi="ar-SA"/>
          <w14:ligatures w14:val="standardContextual"/>
        </w:rPr>
      </w:pPr>
      <w:hyperlink w:anchor="_Toc182409651" w:history="1">
        <w:r w:rsidRPr="00BA2351">
          <w:rPr>
            <w:rStyle w:val="Hyperlink"/>
            <w:noProof/>
          </w:rPr>
          <w:t>Base de Dados do Azure para PostgreSQL</w:t>
        </w:r>
        <w:r>
          <w:rPr>
            <w:noProof/>
            <w:webHidden/>
          </w:rPr>
          <w:tab/>
        </w:r>
        <w:r>
          <w:rPr>
            <w:noProof/>
            <w:webHidden/>
          </w:rPr>
          <w:fldChar w:fldCharType="begin"/>
        </w:r>
        <w:r>
          <w:rPr>
            <w:noProof/>
            <w:webHidden/>
          </w:rPr>
          <w:instrText xml:space="preserve"> PAGEREF _Toc182409651 \h </w:instrText>
        </w:r>
        <w:r>
          <w:rPr>
            <w:noProof/>
            <w:webHidden/>
          </w:rPr>
        </w:r>
        <w:r>
          <w:rPr>
            <w:noProof/>
            <w:webHidden/>
          </w:rPr>
          <w:fldChar w:fldCharType="separate"/>
        </w:r>
        <w:r>
          <w:rPr>
            <w:noProof/>
            <w:webHidden/>
          </w:rPr>
          <w:t>47</w:t>
        </w:r>
        <w:r>
          <w:rPr>
            <w:noProof/>
            <w:webHidden/>
          </w:rPr>
          <w:fldChar w:fldCharType="end"/>
        </w:r>
      </w:hyperlink>
    </w:p>
    <w:p w14:paraId="42338055" w14:textId="4F1911A7" w:rsidR="006D5705" w:rsidRDefault="006D5705">
      <w:pPr>
        <w:pStyle w:val="TOC4"/>
        <w:rPr>
          <w:rFonts w:eastAsiaTheme="minorEastAsia"/>
          <w:smallCaps w:val="0"/>
          <w:noProof/>
          <w:kern w:val="2"/>
          <w:sz w:val="24"/>
          <w:szCs w:val="24"/>
          <w:lang w:val="en-US" w:eastAsia="en-US" w:bidi="ar-SA"/>
          <w14:ligatures w14:val="standardContextual"/>
        </w:rPr>
      </w:pPr>
      <w:hyperlink w:anchor="_Toc182409652" w:history="1">
        <w:r w:rsidRPr="00BA2351">
          <w:rPr>
            <w:rStyle w:val="Hyperlink"/>
            <w:noProof/>
          </w:rPr>
          <w:t>Azure Databricks</w:t>
        </w:r>
        <w:r>
          <w:rPr>
            <w:noProof/>
            <w:webHidden/>
          </w:rPr>
          <w:tab/>
        </w:r>
        <w:r>
          <w:rPr>
            <w:noProof/>
            <w:webHidden/>
          </w:rPr>
          <w:fldChar w:fldCharType="begin"/>
        </w:r>
        <w:r>
          <w:rPr>
            <w:noProof/>
            <w:webHidden/>
          </w:rPr>
          <w:instrText xml:space="preserve"> PAGEREF _Toc182409652 \h </w:instrText>
        </w:r>
        <w:r>
          <w:rPr>
            <w:noProof/>
            <w:webHidden/>
          </w:rPr>
        </w:r>
        <w:r>
          <w:rPr>
            <w:noProof/>
            <w:webHidden/>
          </w:rPr>
          <w:fldChar w:fldCharType="separate"/>
        </w:r>
        <w:r>
          <w:rPr>
            <w:noProof/>
            <w:webHidden/>
          </w:rPr>
          <w:t>48</w:t>
        </w:r>
        <w:r>
          <w:rPr>
            <w:noProof/>
            <w:webHidden/>
          </w:rPr>
          <w:fldChar w:fldCharType="end"/>
        </w:r>
      </w:hyperlink>
    </w:p>
    <w:p w14:paraId="4CCF1E36" w14:textId="7EBF6EAC" w:rsidR="006D5705" w:rsidRDefault="006D5705">
      <w:pPr>
        <w:pStyle w:val="TOC4"/>
        <w:rPr>
          <w:rFonts w:eastAsiaTheme="minorEastAsia"/>
          <w:smallCaps w:val="0"/>
          <w:noProof/>
          <w:kern w:val="2"/>
          <w:sz w:val="24"/>
          <w:szCs w:val="24"/>
          <w:lang w:val="en-US" w:eastAsia="en-US" w:bidi="ar-SA"/>
          <w14:ligatures w14:val="standardContextual"/>
        </w:rPr>
      </w:pPr>
      <w:hyperlink w:anchor="_Toc182409653" w:history="1">
        <w:r w:rsidRPr="00BA2351">
          <w:rPr>
            <w:rStyle w:val="Hyperlink"/>
            <w:noProof/>
          </w:rPr>
          <w:t>Gestor de Dados para Energia do Microsoft Azure</w:t>
        </w:r>
        <w:r>
          <w:rPr>
            <w:noProof/>
            <w:webHidden/>
          </w:rPr>
          <w:tab/>
        </w:r>
        <w:r>
          <w:rPr>
            <w:noProof/>
            <w:webHidden/>
          </w:rPr>
          <w:fldChar w:fldCharType="begin"/>
        </w:r>
        <w:r>
          <w:rPr>
            <w:noProof/>
            <w:webHidden/>
          </w:rPr>
          <w:instrText xml:space="preserve"> PAGEREF _Toc182409653 \h </w:instrText>
        </w:r>
        <w:r>
          <w:rPr>
            <w:noProof/>
            <w:webHidden/>
          </w:rPr>
        </w:r>
        <w:r>
          <w:rPr>
            <w:noProof/>
            <w:webHidden/>
          </w:rPr>
          <w:fldChar w:fldCharType="separate"/>
        </w:r>
        <w:r>
          <w:rPr>
            <w:noProof/>
            <w:webHidden/>
          </w:rPr>
          <w:t>48</w:t>
        </w:r>
        <w:r>
          <w:rPr>
            <w:noProof/>
            <w:webHidden/>
          </w:rPr>
          <w:fldChar w:fldCharType="end"/>
        </w:r>
      </w:hyperlink>
    </w:p>
    <w:p w14:paraId="40C6D595" w14:textId="392F6D57" w:rsidR="006D5705" w:rsidRDefault="006D5705">
      <w:pPr>
        <w:pStyle w:val="TOC4"/>
        <w:rPr>
          <w:rFonts w:eastAsiaTheme="minorEastAsia"/>
          <w:smallCaps w:val="0"/>
          <w:noProof/>
          <w:kern w:val="2"/>
          <w:sz w:val="24"/>
          <w:szCs w:val="24"/>
          <w:lang w:val="en-US" w:eastAsia="en-US" w:bidi="ar-SA"/>
          <w14:ligatures w14:val="standardContextual"/>
        </w:rPr>
      </w:pPr>
      <w:hyperlink w:anchor="_Toc182409654" w:history="1">
        <w:r w:rsidRPr="00BA2351">
          <w:rPr>
            <w:rStyle w:val="Hyperlink"/>
            <w:noProof/>
          </w:rPr>
          <w:t>Azure DDoS Protection</w:t>
        </w:r>
        <w:r>
          <w:rPr>
            <w:noProof/>
            <w:webHidden/>
          </w:rPr>
          <w:tab/>
        </w:r>
        <w:r>
          <w:rPr>
            <w:noProof/>
            <w:webHidden/>
          </w:rPr>
          <w:fldChar w:fldCharType="begin"/>
        </w:r>
        <w:r>
          <w:rPr>
            <w:noProof/>
            <w:webHidden/>
          </w:rPr>
          <w:instrText xml:space="preserve"> PAGEREF _Toc182409654 \h </w:instrText>
        </w:r>
        <w:r>
          <w:rPr>
            <w:noProof/>
            <w:webHidden/>
          </w:rPr>
        </w:r>
        <w:r>
          <w:rPr>
            <w:noProof/>
            <w:webHidden/>
          </w:rPr>
          <w:fldChar w:fldCharType="separate"/>
        </w:r>
        <w:r>
          <w:rPr>
            <w:noProof/>
            <w:webHidden/>
          </w:rPr>
          <w:t>49</w:t>
        </w:r>
        <w:r>
          <w:rPr>
            <w:noProof/>
            <w:webHidden/>
          </w:rPr>
          <w:fldChar w:fldCharType="end"/>
        </w:r>
      </w:hyperlink>
    </w:p>
    <w:p w14:paraId="26FC9869" w14:textId="02DC5C1A" w:rsidR="006D5705" w:rsidRDefault="006D5705">
      <w:pPr>
        <w:pStyle w:val="TOC4"/>
        <w:rPr>
          <w:rFonts w:eastAsiaTheme="minorEastAsia"/>
          <w:smallCaps w:val="0"/>
          <w:noProof/>
          <w:kern w:val="2"/>
          <w:sz w:val="24"/>
          <w:szCs w:val="24"/>
          <w:lang w:val="en-US" w:eastAsia="en-US" w:bidi="ar-SA"/>
          <w14:ligatures w14:val="standardContextual"/>
        </w:rPr>
      </w:pPr>
      <w:hyperlink w:anchor="_Toc182409655" w:history="1">
        <w:r w:rsidRPr="00BA2351">
          <w:rPr>
            <w:rStyle w:val="Hyperlink"/>
            <w:noProof/>
          </w:rPr>
          <w:t>Azure Defender</w:t>
        </w:r>
        <w:r>
          <w:rPr>
            <w:noProof/>
            <w:webHidden/>
          </w:rPr>
          <w:tab/>
        </w:r>
        <w:r>
          <w:rPr>
            <w:noProof/>
            <w:webHidden/>
          </w:rPr>
          <w:fldChar w:fldCharType="begin"/>
        </w:r>
        <w:r>
          <w:rPr>
            <w:noProof/>
            <w:webHidden/>
          </w:rPr>
          <w:instrText xml:space="preserve"> PAGEREF _Toc182409655 \h </w:instrText>
        </w:r>
        <w:r>
          <w:rPr>
            <w:noProof/>
            <w:webHidden/>
          </w:rPr>
        </w:r>
        <w:r>
          <w:rPr>
            <w:noProof/>
            <w:webHidden/>
          </w:rPr>
          <w:fldChar w:fldCharType="separate"/>
        </w:r>
        <w:r>
          <w:rPr>
            <w:noProof/>
            <w:webHidden/>
          </w:rPr>
          <w:t>49</w:t>
        </w:r>
        <w:r>
          <w:rPr>
            <w:noProof/>
            <w:webHidden/>
          </w:rPr>
          <w:fldChar w:fldCharType="end"/>
        </w:r>
      </w:hyperlink>
    </w:p>
    <w:p w14:paraId="436FC178" w14:textId="227416BB" w:rsidR="006D5705" w:rsidRDefault="006D5705">
      <w:pPr>
        <w:pStyle w:val="TOC4"/>
        <w:rPr>
          <w:rFonts w:eastAsiaTheme="minorEastAsia"/>
          <w:smallCaps w:val="0"/>
          <w:noProof/>
          <w:kern w:val="2"/>
          <w:sz w:val="24"/>
          <w:szCs w:val="24"/>
          <w:lang w:val="en-US" w:eastAsia="en-US" w:bidi="ar-SA"/>
          <w14:ligatures w14:val="standardContextual"/>
        </w:rPr>
      </w:pPr>
      <w:hyperlink w:anchor="_Toc182409656" w:history="1">
        <w:r w:rsidRPr="00BA2351">
          <w:rPr>
            <w:rStyle w:val="Hyperlink"/>
            <w:noProof/>
          </w:rPr>
          <w:t>Defender External Attack Surface Management</w:t>
        </w:r>
        <w:r>
          <w:rPr>
            <w:noProof/>
            <w:webHidden/>
          </w:rPr>
          <w:tab/>
        </w:r>
        <w:r>
          <w:rPr>
            <w:noProof/>
            <w:webHidden/>
          </w:rPr>
          <w:fldChar w:fldCharType="begin"/>
        </w:r>
        <w:r>
          <w:rPr>
            <w:noProof/>
            <w:webHidden/>
          </w:rPr>
          <w:instrText xml:space="preserve"> PAGEREF _Toc182409656 \h </w:instrText>
        </w:r>
        <w:r>
          <w:rPr>
            <w:noProof/>
            <w:webHidden/>
          </w:rPr>
        </w:r>
        <w:r>
          <w:rPr>
            <w:noProof/>
            <w:webHidden/>
          </w:rPr>
          <w:fldChar w:fldCharType="separate"/>
        </w:r>
        <w:r>
          <w:rPr>
            <w:noProof/>
            <w:webHidden/>
          </w:rPr>
          <w:t>49</w:t>
        </w:r>
        <w:r>
          <w:rPr>
            <w:noProof/>
            <w:webHidden/>
          </w:rPr>
          <w:fldChar w:fldCharType="end"/>
        </w:r>
      </w:hyperlink>
    </w:p>
    <w:p w14:paraId="315E03D1" w14:textId="5C314B22" w:rsidR="006D5705" w:rsidRDefault="006D5705">
      <w:pPr>
        <w:pStyle w:val="TOC4"/>
        <w:rPr>
          <w:rFonts w:eastAsiaTheme="minorEastAsia"/>
          <w:smallCaps w:val="0"/>
          <w:noProof/>
          <w:kern w:val="2"/>
          <w:sz w:val="24"/>
          <w:szCs w:val="24"/>
          <w:lang w:val="en-US" w:eastAsia="en-US" w:bidi="ar-SA"/>
          <w14:ligatures w14:val="standardContextual"/>
        </w:rPr>
      </w:pPr>
      <w:hyperlink w:anchor="_Toc182409657" w:history="1">
        <w:r w:rsidRPr="00BA2351">
          <w:rPr>
            <w:rStyle w:val="Hyperlink"/>
            <w:noProof/>
          </w:rPr>
          <w:t>Azure Dev Ops</w:t>
        </w:r>
        <w:r>
          <w:rPr>
            <w:noProof/>
            <w:webHidden/>
          </w:rPr>
          <w:tab/>
        </w:r>
        <w:r>
          <w:rPr>
            <w:noProof/>
            <w:webHidden/>
          </w:rPr>
          <w:fldChar w:fldCharType="begin"/>
        </w:r>
        <w:r>
          <w:rPr>
            <w:noProof/>
            <w:webHidden/>
          </w:rPr>
          <w:instrText xml:space="preserve"> PAGEREF _Toc182409657 \h </w:instrText>
        </w:r>
        <w:r>
          <w:rPr>
            <w:noProof/>
            <w:webHidden/>
          </w:rPr>
        </w:r>
        <w:r>
          <w:rPr>
            <w:noProof/>
            <w:webHidden/>
          </w:rPr>
          <w:fldChar w:fldCharType="separate"/>
        </w:r>
        <w:r>
          <w:rPr>
            <w:noProof/>
            <w:webHidden/>
          </w:rPr>
          <w:t>50</w:t>
        </w:r>
        <w:r>
          <w:rPr>
            <w:noProof/>
            <w:webHidden/>
          </w:rPr>
          <w:fldChar w:fldCharType="end"/>
        </w:r>
      </w:hyperlink>
    </w:p>
    <w:p w14:paraId="7EC53FFD" w14:textId="10EB8B5E" w:rsidR="006D5705" w:rsidRDefault="006D5705">
      <w:pPr>
        <w:pStyle w:val="TOC4"/>
        <w:rPr>
          <w:rFonts w:eastAsiaTheme="minorEastAsia"/>
          <w:smallCaps w:val="0"/>
          <w:noProof/>
          <w:kern w:val="2"/>
          <w:sz w:val="24"/>
          <w:szCs w:val="24"/>
          <w:lang w:val="en-US" w:eastAsia="en-US" w:bidi="ar-SA"/>
          <w14:ligatures w14:val="standardContextual"/>
        </w:rPr>
      </w:pPr>
      <w:hyperlink w:anchor="_Toc182409658" w:history="1">
        <w:r w:rsidRPr="00BA2351">
          <w:rPr>
            <w:rStyle w:val="Hyperlink"/>
            <w:noProof/>
          </w:rPr>
          <w:t>Microsoft Dev Box</w:t>
        </w:r>
        <w:r>
          <w:rPr>
            <w:noProof/>
            <w:webHidden/>
          </w:rPr>
          <w:tab/>
        </w:r>
        <w:r>
          <w:rPr>
            <w:noProof/>
            <w:webHidden/>
          </w:rPr>
          <w:fldChar w:fldCharType="begin"/>
        </w:r>
        <w:r>
          <w:rPr>
            <w:noProof/>
            <w:webHidden/>
          </w:rPr>
          <w:instrText xml:space="preserve"> PAGEREF _Toc182409658 \h </w:instrText>
        </w:r>
        <w:r>
          <w:rPr>
            <w:noProof/>
            <w:webHidden/>
          </w:rPr>
        </w:r>
        <w:r>
          <w:rPr>
            <w:noProof/>
            <w:webHidden/>
          </w:rPr>
          <w:fldChar w:fldCharType="separate"/>
        </w:r>
        <w:r>
          <w:rPr>
            <w:noProof/>
            <w:webHidden/>
          </w:rPr>
          <w:t>51</w:t>
        </w:r>
        <w:r>
          <w:rPr>
            <w:noProof/>
            <w:webHidden/>
          </w:rPr>
          <w:fldChar w:fldCharType="end"/>
        </w:r>
      </w:hyperlink>
    </w:p>
    <w:p w14:paraId="7034CFA8" w14:textId="530C8F8A" w:rsidR="006D5705" w:rsidRDefault="006D5705">
      <w:pPr>
        <w:pStyle w:val="TOC4"/>
        <w:rPr>
          <w:rFonts w:eastAsiaTheme="minorEastAsia"/>
          <w:smallCaps w:val="0"/>
          <w:noProof/>
          <w:kern w:val="2"/>
          <w:sz w:val="24"/>
          <w:szCs w:val="24"/>
          <w:lang w:val="en-US" w:eastAsia="en-US" w:bidi="ar-SA"/>
          <w14:ligatures w14:val="standardContextual"/>
        </w:rPr>
      </w:pPr>
      <w:hyperlink w:anchor="_Toc182409659" w:history="1">
        <w:r w:rsidRPr="00BA2351">
          <w:rPr>
            <w:rStyle w:val="Hyperlink"/>
            <w:noProof/>
          </w:rPr>
          <w:t>Azure Digital Twins</w:t>
        </w:r>
        <w:r>
          <w:rPr>
            <w:noProof/>
            <w:webHidden/>
          </w:rPr>
          <w:tab/>
        </w:r>
        <w:r>
          <w:rPr>
            <w:noProof/>
            <w:webHidden/>
          </w:rPr>
          <w:fldChar w:fldCharType="begin"/>
        </w:r>
        <w:r>
          <w:rPr>
            <w:noProof/>
            <w:webHidden/>
          </w:rPr>
          <w:instrText xml:space="preserve"> PAGEREF _Toc182409659 \h </w:instrText>
        </w:r>
        <w:r>
          <w:rPr>
            <w:noProof/>
            <w:webHidden/>
          </w:rPr>
        </w:r>
        <w:r>
          <w:rPr>
            <w:noProof/>
            <w:webHidden/>
          </w:rPr>
          <w:fldChar w:fldCharType="separate"/>
        </w:r>
        <w:r>
          <w:rPr>
            <w:noProof/>
            <w:webHidden/>
          </w:rPr>
          <w:t>51</w:t>
        </w:r>
        <w:r>
          <w:rPr>
            <w:noProof/>
            <w:webHidden/>
          </w:rPr>
          <w:fldChar w:fldCharType="end"/>
        </w:r>
      </w:hyperlink>
    </w:p>
    <w:p w14:paraId="350F5EE3" w14:textId="6ECD937B" w:rsidR="006D5705" w:rsidRDefault="006D5705">
      <w:pPr>
        <w:pStyle w:val="TOC4"/>
        <w:rPr>
          <w:rFonts w:eastAsiaTheme="minorEastAsia"/>
          <w:smallCaps w:val="0"/>
          <w:noProof/>
          <w:kern w:val="2"/>
          <w:sz w:val="24"/>
          <w:szCs w:val="24"/>
          <w:lang w:val="en-US" w:eastAsia="en-US" w:bidi="ar-SA"/>
          <w14:ligatures w14:val="standardContextual"/>
        </w:rPr>
      </w:pPr>
      <w:hyperlink w:anchor="_Toc182409660" w:history="1">
        <w:r w:rsidRPr="00BA2351">
          <w:rPr>
            <w:rStyle w:val="Hyperlink"/>
            <w:noProof/>
          </w:rPr>
          <w:t>DNS do Azure</w:t>
        </w:r>
        <w:r>
          <w:rPr>
            <w:noProof/>
            <w:webHidden/>
          </w:rPr>
          <w:tab/>
        </w:r>
        <w:r>
          <w:rPr>
            <w:noProof/>
            <w:webHidden/>
          </w:rPr>
          <w:fldChar w:fldCharType="begin"/>
        </w:r>
        <w:r>
          <w:rPr>
            <w:noProof/>
            <w:webHidden/>
          </w:rPr>
          <w:instrText xml:space="preserve"> PAGEREF _Toc182409660 \h </w:instrText>
        </w:r>
        <w:r>
          <w:rPr>
            <w:noProof/>
            <w:webHidden/>
          </w:rPr>
        </w:r>
        <w:r>
          <w:rPr>
            <w:noProof/>
            <w:webHidden/>
          </w:rPr>
          <w:fldChar w:fldCharType="separate"/>
        </w:r>
        <w:r>
          <w:rPr>
            <w:noProof/>
            <w:webHidden/>
          </w:rPr>
          <w:t>52</w:t>
        </w:r>
        <w:r>
          <w:rPr>
            <w:noProof/>
            <w:webHidden/>
          </w:rPr>
          <w:fldChar w:fldCharType="end"/>
        </w:r>
      </w:hyperlink>
    </w:p>
    <w:p w14:paraId="29B7F1E0" w14:textId="5F64D276" w:rsidR="006D5705" w:rsidRDefault="006D5705">
      <w:pPr>
        <w:pStyle w:val="TOC4"/>
        <w:rPr>
          <w:rFonts w:eastAsiaTheme="minorEastAsia"/>
          <w:smallCaps w:val="0"/>
          <w:noProof/>
          <w:kern w:val="2"/>
          <w:sz w:val="24"/>
          <w:szCs w:val="24"/>
          <w:lang w:val="en-US" w:eastAsia="en-US" w:bidi="ar-SA"/>
          <w14:ligatures w14:val="standardContextual"/>
        </w:rPr>
      </w:pPr>
      <w:hyperlink w:anchor="_Toc182409661" w:history="1">
        <w:r w:rsidRPr="00BA2351">
          <w:rPr>
            <w:rStyle w:val="Hyperlink"/>
            <w:noProof/>
          </w:rPr>
          <w:t>Azure DNS Private Resolver</w:t>
        </w:r>
        <w:r>
          <w:rPr>
            <w:noProof/>
            <w:webHidden/>
          </w:rPr>
          <w:tab/>
        </w:r>
        <w:r>
          <w:rPr>
            <w:noProof/>
            <w:webHidden/>
          </w:rPr>
          <w:fldChar w:fldCharType="begin"/>
        </w:r>
        <w:r>
          <w:rPr>
            <w:noProof/>
            <w:webHidden/>
          </w:rPr>
          <w:instrText xml:space="preserve"> PAGEREF _Toc182409661 \h </w:instrText>
        </w:r>
        <w:r>
          <w:rPr>
            <w:noProof/>
            <w:webHidden/>
          </w:rPr>
        </w:r>
        <w:r>
          <w:rPr>
            <w:noProof/>
            <w:webHidden/>
          </w:rPr>
          <w:fldChar w:fldCharType="separate"/>
        </w:r>
        <w:r>
          <w:rPr>
            <w:noProof/>
            <w:webHidden/>
          </w:rPr>
          <w:t>52</w:t>
        </w:r>
        <w:r>
          <w:rPr>
            <w:noProof/>
            <w:webHidden/>
          </w:rPr>
          <w:fldChar w:fldCharType="end"/>
        </w:r>
      </w:hyperlink>
    </w:p>
    <w:p w14:paraId="10C6D5D3" w14:textId="5C473E78" w:rsidR="006D5705" w:rsidRDefault="006D5705">
      <w:pPr>
        <w:pStyle w:val="TOC4"/>
        <w:rPr>
          <w:rFonts w:eastAsiaTheme="minorEastAsia"/>
          <w:smallCaps w:val="0"/>
          <w:noProof/>
          <w:kern w:val="2"/>
          <w:sz w:val="24"/>
          <w:szCs w:val="24"/>
          <w:lang w:val="en-US" w:eastAsia="en-US" w:bidi="ar-SA"/>
          <w14:ligatures w14:val="standardContextual"/>
        </w:rPr>
      </w:pPr>
      <w:hyperlink w:anchor="_Toc182409662" w:history="1">
        <w:r w:rsidRPr="00BA2351">
          <w:rPr>
            <w:rStyle w:val="Hyperlink"/>
            <w:noProof/>
          </w:rPr>
          <w:t>SLA Elastic San</w:t>
        </w:r>
        <w:r>
          <w:rPr>
            <w:noProof/>
            <w:webHidden/>
          </w:rPr>
          <w:tab/>
        </w:r>
        <w:r>
          <w:rPr>
            <w:noProof/>
            <w:webHidden/>
          </w:rPr>
          <w:fldChar w:fldCharType="begin"/>
        </w:r>
        <w:r>
          <w:rPr>
            <w:noProof/>
            <w:webHidden/>
          </w:rPr>
          <w:instrText xml:space="preserve"> PAGEREF _Toc182409662 \h </w:instrText>
        </w:r>
        <w:r>
          <w:rPr>
            <w:noProof/>
            <w:webHidden/>
          </w:rPr>
        </w:r>
        <w:r>
          <w:rPr>
            <w:noProof/>
            <w:webHidden/>
          </w:rPr>
          <w:fldChar w:fldCharType="separate"/>
        </w:r>
        <w:r>
          <w:rPr>
            <w:noProof/>
            <w:webHidden/>
          </w:rPr>
          <w:t>53</w:t>
        </w:r>
        <w:r>
          <w:rPr>
            <w:noProof/>
            <w:webHidden/>
          </w:rPr>
          <w:fldChar w:fldCharType="end"/>
        </w:r>
      </w:hyperlink>
    </w:p>
    <w:p w14:paraId="3705C304" w14:textId="297FF756" w:rsidR="006D5705" w:rsidRDefault="006D5705">
      <w:pPr>
        <w:pStyle w:val="TOC4"/>
        <w:rPr>
          <w:rFonts w:eastAsiaTheme="minorEastAsia"/>
          <w:smallCaps w:val="0"/>
          <w:noProof/>
          <w:kern w:val="2"/>
          <w:sz w:val="24"/>
          <w:szCs w:val="24"/>
          <w:lang w:val="en-US" w:eastAsia="en-US" w:bidi="ar-SA"/>
          <w14:ligatures w14:val="standardContextual"/>
        </w:rPr>
      </w:pPr>
      <w:hyperlink w:anchor="_Toc182409663" w:history="1">
        <w:r w:rsidRPr="00BA2351">
          <w:rPr>
            <w:rStyle w:val="Hyperlink"/>
            <w:noProof/>
          </w:rPr>
          <w:t>Grelha de Eventos</w:t>
        </w:r>
        <w:r>
          <w:rPr>
            <w:noProof/>
            <w:webHidden/>
          </w:rPr>
          <w:tab/>
        </w:r>
        <w:r>
          <w:rPr>
            <w:noProof/>
            <w:webHidden/>
          </w:rPr>
          <w:fldChar w:fldCharType="begin"/>
        </w:r>
        <w:r>
          <w:rPr>
            <w:noProof/>
            <w:webHidden/>
          </w:rPr>
          <w:instrText xml:space="preserve"> PAGEREF _Toc182409663 \h </w:instrText>
        </w:r>
        <w:r>
          <w:rPr>
            <w:noProof/>
            <w:webHidden/>
          </w:rPr>
        </w:r>
        <w:r>
          <w:rPr>
            <w:noProof/>
            <w:webHidden/>
          </w:rPr>
          <w:fldChar w:fldCharType="separate"/>
        </w:r>
        <w:r>
          <w:rPr>
            <w:noProof/>
            <w:webHidden/>
          </w:rPr>
          <w:t>53</w:t>
        </w:r>
        <w:r>
          <w:rPr>
            <w:noProof/>
            <w:webHidden/>
          </w:rPr>
          <w:fldChar w:fldCharType="end"/>
        </w:r>
      </w:hyperlink>
    </w:p>
    <w:p w14:paraId="73172F3E" w14:textId="08DC43CC" w:rsidR="006D5705" w:rsidRDefault="006D5705">
      <w:pPr>
        <w:pStyle w:val="TOC4"/>
        <w:rPr>
          <w:rFonts w:eastAsiaTheme="minorEastAsia"/>
          <w:smallCaps w:val="0"/>
          <w:noProof/>
          <w:kern w:val="2"/>
          <w:sz w:val="24"/>
          <w:szCs w:val="24"/>
          <w:lang w:val="en-US" w:eastAsia="en-US" w:bidi="ar-SA"/>
          <w14:ligatures w14:val="standardContextual"/>
        </w:rPr>
      </w:pPr>
      <w:hyperlink w:anchor="_Toc182409664" w:history="1">
        <w:r w:rsidRPr="00BA2351">
          <w:rPr>
            <w:rStyle w:val="Hyperlink"/>
            <w:noProof/>
          </w:rPr>
          <w:t>Hubs de Eventos</w:t>
        </w:r>
        <w:r>
          <w:rPr>
            <w:noProof/>
            <w:webHidden/>
          </w:rPr>
          <w:tab/>
        </w:r>
        <w:r>
          <w:rPr>
            <w:noProof/>
            <w:webHidden/>
          </w:rPr>
          <w:fldChar w:fldCharType="begin"/>
        </w:r>
        <w:r>
          <w:rPr>
            <w:noProof/>
            <w:webHidden/>
          </w:rPr>
          <w:instrText xml:space="preserve"> PAGEREF _Toc182409664 \h </w:instrText>
        </w:r>
        <w:r>
          <w:rPr>
            <w:noProof/>
            <w:webHidden/>
          </w:rPr>
        </w:r>
        <w:r>
          <w:rPr>
            <w:noProof/>
            <w:webHidden/>
          </w:rPr>
          <w:fldChar w:fldCharType="separate"/>
        </w:r>
        <w:r>
          <w:rPr>
            <w:noProof/>
            <w:webHidden/>
          </w:rPr>
          <w:t>54</w:t>
        </w:r>
        <w:r>
          <w:rPr>
            <w:noProof/>
            <w:webHidden/>
          </w:rPr>
          <w:fldChar w:fldCharType="end"/>
        </w:r>
      </w:hyperlink>
    </w:p>
    <w:p w14:paraId="5B7C3F9A" w14:textId="1F3552C9" w:rsidR="006D5705" w:rsidRDefault="006D5705">
      <w:pPr>
        <w:pStyle w:val="TOC4"/>
        <w:rPr>
          <w:rFonts w:eastAsiaTheme="minorEastAsia"/>
          <w:smallCaps w:val="0"/>
          <w:noProof/>
          <w:kern w:val="2"/>
          <w:sz w:val="24"/>
          <w:szCs w:val="24"/>
          <w:lang w:val="en-US" w:eastAsia="en-US" w:bidi="ar-SA"/>
          <w14:ligatures w14:val="standardContextual"/>
        </w:rPr>
      </w:pPr>
      <w:hyperlink w:anchor="_Toc182409665" w:history="1">
        <w:r w:rsidRPr="00BA2351">
          <w:rPr>
            <w:rStyle w:val="Hyperlink"/>
            <w:noProof/>
          </w:rPr>
          <w:t>Azure ExpressRoute</w:t>
        </w:r>
        <w:r>
          <w:rPr>
            <w:noProof/>
            <w:webHidden/>
          </w:rPr>
          <w:tab/>
        </w:r>
        <w:r>
          <w:rPr>
            <w:noProof/>
            <w:webHidden/>
          </w:rPr>
          <w:fldChar w:fldCharType="begin"/>
        </w:r>
        <w:r>
          <w:rPr>
            <w:noProof/>
            <w:webHidden/>
          </w:rPr>
          <w:instrText xml:space="preserve"> PAGEREF _Toc182409665 \h </w:instrText>
        </w:r>
        <w:r>
          <w:rPr>
            <w:noProof/>
            <w:webHidden/>
          </w:rPr>
        </w:r>
        <w:r>
          <w:rPr>
            <w:noProof/>
            <w:webHidden/>
          </w:rPr>
          <w:fldChar w:fldCharType="separate"/>
        </w:r>
        <w:r>
          <w:rPr>
            <w:noProof/>
            <w:webHidden/>
          </w:rPr>
          <w:t>54</w:t>
        </w:r>
        <w:r>
          <w:rPr>
            <w:noProof/>
            <w:webHidden/>
          </w:rPr>
          <w:fldChar w:fldCharType="end"/>
        </w:r>
      </w:hyperlink>
    </w:p>
    <w:p w14:paraId="48A0EE4E" w14:textId="48A1E50A" w:rsidR="006D5705" w:rsidRDefault="006D5705">
      <w:pPr>
        <w:pStyle w:val="TOC4"/>
        <w:rPr>
          <w:rFonts w:eastAsiaTheme="minorEastAsia"/>
          <w:smallCaps w:val="0"/>
          <w:noProof/>
          <w:kern w:val="2"/>
          <w:sz w:val="24"/>
          <w:szCs w:val="24"/>
          <w:lang w:val="en-US" w:eastAsia="en-US" w:bidi="ar-SA"/>
          <w14:ligatures w14:val="standardContextual"/>
        </w:rPr>
      </w:pPr>
      <w:hyperlink w:anchor="_Toc182409666" w:history="1">
        <w:r w:rsidRPr="00BA2351">
          <w:rPr>
            <w:rStyle w:val="Hyperlink"/>
            <w:noProof/>
          </w:rPr>
          <w:t>Azure ExpressRoute Traffic Collector</w:t>
        </w:r>
        <w:r>
          <w:rPr>
            <w:noProof/>
            <w:webHidden/>
          </w:rPr>
          <w:tab/>
        </w:r>
        <w:r>
          <w:rPr>
            <w:noProof/>
            <w:webHidden/>
          </w:rPr>
          <w:fldChar w:fldCharType="begin"/>
        </w:r>
        <w:r>
          <w:rPr>
            <w:noProof/>
            <w:webHidden/>
          </w:rPr>
          <w:instrText xml:space="preserve"> PAGEREF _Toc182409666 \h </w:instrText>
        </w:r>
        <w:r>
          <w:rPr>
            <w:noProof/>
            <w:webHidden/>
          </w:rPr>
        </w:r>
        <w:r>
          <w:rPr>
            <w:noProof/>
            <w:webHidden/>
          </w:rPr>
          <w:fldChar w:fldCharType="separate"/>
        </w:r>
        <w:r>
          <w:rPr>
            <w:noProof/>
            <w:webHidden/>
          </w:rPr>
          <w:t>55</w:t>
        </w:r>
        <w:r>
          <w:rPr>
            <w:noProof/>
            <w:webHidden/>
          </w:rPr>
          <w:fldChar w:fldCharType="end"/>
        </w:r>
      </w:hyperlink>
    </w:p>
    <w:p w14:paraId="60E30DBC" w14:textId="1EF7B104" w:rsidR="006D5705" w:rsidRDefault="006D5705">
      <w:pPr>
        <w:pStyle w:val="TOC4"/>
        <w:rPr>
          <w:rFonts w:eastAsiaTheme="minorEastAsia"/>
          <w:smallCaps w:val="0"/>
          <w:noProof/>
          <w:kern w:val="2"/>
          <w:sz w:val="24"/>
          <w:szCs w:val="24"/>
          <w:lang w:val="en-US" w:eastAsia="en-US" w:bidi="ar-SA"/>
          <w14:ligatures w14:val="standardContextual"/>
        </w:rPr>
      </w:pPr>
      <w:hyperlink w:anchor="_Toc182409667" w:history="1">
        <w:r w:rsidRPr="00BA2351">
          <w:rPr>
            <w:rStyle w:val="Hyperlink"/>
            <w:noProof/>
          </w:rPr>
          <w:t xml:space="preserve">Camada Premium dos </w:t>
        </w:r>
        <w:r w:rsidRPr="00BA2351">
          <w:rPr>
            <w:rStyle w:val="Hyperlink"/>
            <w:noProof/>
            <w:bdr w:val="none" w:sz="0" w:space="0" w:color="auto" w:frame="1"/>
          </w:rPr>
          <w:t>Ficheiros do Azure</w:t>
        </w:r>
        <w:r>
          <w:rPr>
            <w:noProof/>
            <w:webHidden/>
          </w:rPr>
          <w:tab/>
        </w:r>
        <w:r>
          <w:rPr>
            <w:noProof/>
            <w:webHidden/>
          </w:rPr>
          <w:fldChar w:fldCharType="begin"/>
        </w:r>
        <w:r>
          <w:rPr>
            <w:noProof/>
            <w:webHidden/>
          </w:rPr>
          <w:instrText xml:space="preserve"> PAGEREF _Toc182409667 \h </w:instrText>
        </w:r>
        <w:r>
          <w:rPr>
            <w:noProof/>
            <w:webHidden/>
          </w:rPr>
        </w:r>
        <w:r>
          <w:rPr>
            <w:noProof/>
            <w:webHidden/>
          </w:rPr>
          <w:fldChar w:fldCharType="separate"/>
        </w:r>
        <w:r>
          <w:rPr>
            <w:noProof/>
            <w:webHidden/>
          </w:rPr>
          <w:t>56</w:t>
        </w:r>
        <w:r>
          <w:rPr>
            <w:noProof/>
            <w:webHidden/>
          </w:rPr>
          <w:fldChar w:fldCharType="end"/>
        </w:r>
      </w:hyperlink>
    </w:p>
    <w:p w14:paraId="0192D89E" w14:textId="0FACD432" w:rsidR="006D5705" w:rsidRDefault="006D5705">
      <w:pPr>
        <w:pStyle w:val="TOC4"/>
        <w:rPr>
          <w:rFonts w:eastAsiaTheme="minorEastAsia"/>
          <w:smallCaps w:val="0"/>
          <w:noProof/>
          <w:kern w:val="2"/>
          <w:sz w:val="24"/>
          <w:szCs w:val="24"/>
          <w:lang w:val="en-US" w:eastAsia="en-US" w:bidi="ar-SA"/>
          <w14:ligatures w14:val="standardContextual"/>
        </w:rPr>
      </w:pPr>
      <w:hyperlink w:anchor="_Toc182409668" w:history="1">
        <w:r w:rsidRPr="00BA2351">
          <w:rPr>
            <w:rStyle w:val="Hyperlink"/>
            <w:noProof/>
          </w:rPr>
          <w:t>Azure Firewall</w:t>
        </w:r>
        <w:r>
          <w:rPr>
            <w:noProof/>
            <w:webHidden/>
          </w:rPr>
          <w:tab/>
        </w:r>
        <w:r>
          <w:rPr>
            <w:noProof/>
            <w:webHidden/>
          </w:rPr>
          <w:fldChar w:fldCharType="begin"/>
        </w:r>
        <w:r>
          <w:rPr>
            <w:noProof/>
            <w:webHidden/>
          </w:rPr>
          <w:instrText xml:space="preserve"> PAGEREF _Toc182409668 \h </w:instrText>
        </w:r>
        <w:r>
          <w:rPr>
            <w:noProof/>
            <w:webHidden/>
          </w:rPr>
        </w:r>
        <w:r>
          <w:rPr>
            <w:noProof/>
            <w:webHidden/>
          </w:rPr>
          <w:fldChar w:fldCharType="separate"/>
        </w:r>
        <w:r>
          <w:rPr>
            <w:noProof/>
            <w:webHidden/>
          </w:rPr>
          <w:t>56</w:t>
        </w:r>
        <w:r>
          <w:rPr>
            <w:noProof/>
            <w:webHidden/>
          </w:rPr>
          <w:fldChar w:fldCharType="end"/>
        </w:r>
      </w:hyperlink>
    </w:p>
    <w:p w14:paraId="798CC76A" w14:textId="7E29D4D9" w:rsidR="006D5705" w:rsidRDefault="006D5705">
      <w:pPr>
        <w:pStyle w:val="TOC4"/>
        <w:rPr>
          <w:rFonts w:eastAsiaTheme="minorEastAsia"/>
          <w:smallCaps w:val="0"/>
          <w:noProof/>
          <w:kern w:val="2"/>
          <w:sz w:val="24"/>
          <w:szCs w:val="24"/>
          <w:lang w:val="en-US" w:eastAsia="en-US" w:bidi="ar-SA"/>
          <w14:ligatures w14:val="standardContextual"/>
        </w:rPr>
      </w:pPr>
      <w:hyperlink w:anchor="_Toc182409669" w:history="1">
        <w:r w:rsidRPr="00BA2351">
          <w:rPr>
            <w:rStyle w:val="Hyperlink"/>
            <w:noProof/>
          </w:rPr>
          <w:t>Azure Fluid Relay</w:t>
        </w:r>
        <w:r>
          <w:rPr>
            <w:noProof/>
            <w:webHidden/>
          </w:rPr>
          <w:tab/>
        </w:r>
        <w:r>
          <w:rPr>
            <w:noProof/>
            <w:webHidden/>
          </w:rPr>
          <w:fldChar w:fldCharType="begin"/>
        </w:r>
        <w:r>
          <w:rPr>
            <w:noProof/>
            <w:webHidden/>
          </w:rPr>
          <w:instrText xml:space="preserve"> PAGEREF _Toc182409669 \h </w:instrText>
        </w:r>
        <w:r>
          <w:rPr>
            <w:noProof/>
            <w:webHidden/>
          </w:rPr>
        </w:r>
        <w:r>
          <w:rPr>
            <w:noProof/>
            <w:webHidden/>
          </w:rPr>
          <w:fldChar w:fldCharType="separate"/>
        </w:r>
        <w:r>
          <w:rPr>
            <w:noProof/>
            <w:webHidden/>
          </w:rPr>
          <w:t>57</w:t>
        </w:r>
        <w:r>
          <w:rPr>
            <w:noProof/>
            <w:webHidden/>
          </w:rPr>
          <w:fldChar w:fldCharType="end"/>
        </w:r>
      </w:hyperlink>
    </w:p>
    <w:p w14:paraId="28CB192F" w14:textId="5F85B396" w:rsidR="006D5705" w:rsidRDefault="006D5705">
      <w:pPr>
        <w:pStyle w:val="TOC4"/>
        <w:rPr>
          <w:rFonts w:eastAsiaTheme="minorEastAsia"/>
          <w:smallCaps w:val="0"/>
          <w:noProof/>
          <w:kern w:val="2"/>
          <w:sz w:val="24"/>
          <w:szCs w:val="24"/>
          <w:lang w:val="en-US" w:eastAsia="en-US" w:bidi="ar-SA"/>
          <w14:ligatures w14:val="standardContextual"/>
        </w:rPr>
      </w:pPr>
      <w:hyperlink w:anchor="_Toc182409670" w:history="1">
        <w:r w:rsidRPr="00BA2351">
          <w:rPr>
            <w:rStyle w:val="Hyperlink"/>
            <w:noProof/>
          </w:rPr>
          <w:t>Azure Front Door e Azure Front Door (clássico)</w:t>
        </w:r>
        <w:r>
          <w:rPr>
            <w:noProof/>
            <w:webHidden/>
          </w:rPr>
          <w:tab/>
        </w:r>
        <w:r>
          <w:rPr>
            <w:noProof/>
            <w:webHidden/>
          </w:rPr>
          <w:fldChar w:fldCharType="begin"/>
        </w:r>
        <w:r>
          <w:rPr>
            <w:noProof/>
            <w:webHidden/>
          </w:rPr>
          <w:instrText xml:space="preserve"> PAGEREF _Toc182409670 \h </w:instrText>
        </w:r>
        <w:r>
          <w:rPr>
            <w:noProof/>
            <w:webHidden/>
          </w:rPr>
        </w:r>
        <w:r>
          <w:rPr>
            <w:noProof/>
            <w:webHidden/>
          </w:rPr>
          <w:fldChar w:fldCharType="separate"/>
        </w:r>
        <w:r>
          <w:rPr>
            <w:noProof/>
            <w:webHidden/>
          </w:rPr>
          <w:t>57</w:t>
        </w:r>
        <w:r>
          <w:rPr>
            <w:noProof/>
            <w:webHidden/>
          </w:rPr>
          <w:fldChar w:fldCharType="end"/>
        </w:r>
      </w:hyperlink>
    </w:p>
    <w:p w14:paraId="1291DFD7" w14:textId="63381ACF" w:rsidR="006D5705" w:rsidRDefault="006D5705">
      <w:pPr>
        <w:pStyle w:val="TOC4"/>
        <w:rPr>
          <w:rFonts w:eastAsiaTheme="minorEastAsia"/>
          <w:smallCaps w:val="0"/>
          <w:noProof/>
          <w:kern w:val="2"/>
          <w:sz w:val="24"/>
          <w:szCs w:val="24"/>
          <w:lang w:val="en-US" w:eastAsia="en-US" w:bidi="ar-SA"/>
          <w14:ligatures w14:val="standardContextual"/>
        </w:rPr>
      </w:pPr>
      <w:hyperlink w:anchor="_Toc182409671" w:history="1">
        <w:r w:rsidRPr="00BA2351">
          <w:rPr>
            <w:rStyle w:val="Hyperlink"/>
            <w:noProof/>
          </w:rPr>
          <w:t>Funções do Azure</w:t>
        </w:r>
        <w:r>
          <w:rPr>
            <w:noProof/>
            <w:webHidden/>
          </w:rPr>
          <w:tab/>
        </w:r>
        <w:r>
          <w:rPr>
            <w:noProof/>
            <w:webHidden/>
          </w:rPr>
          <w:fldChar w:fldCharType="begin"/>
        </w:r>
        <w:r>
          <w:rPr>
            <w:noProof/>
            <w:webHidden/>
          </w:rPr>
          <w:instrText xml:space="preserve"> PAGEREF _Toc182409671 \h </w:instrText>
        </w:r>
        <w:r>
          <w:rPr>
            <w:noProof/>
            <w:webHidden/>
          </w:rPr>
        </w:r>
        <w:r>
          <w:rPr>
            <w:noProof/>
            <w:webHidden/>
          </w:rPr>
          <w:fldChar w:fldCharType="separate"/>
        </w:r>
        <w:r>
          <w:rPr>
            <w:noProof/>
            <w:webHidden/>
          </w:rPr>
          <w:t>58</w:t>
        </w:r>
        <w:r>
          <w:rPr>
            <w:noProof/>
            <w:webHidden/>
          </w:rPr>
          <w:fldChar w:fldCharType="end"/>
        </w:r>
      </w:hyperlink>
    </w:p>
    <w:p w14:paraId="014504B0" w14:textId="1060C086" w:rsidR="006D5705" w:rsidRDefault="006D5705">
      <w:pPr>
        <w:pStyle w:val="TOC4"/>
        <w:rPr>
          <w:rFonts w:eastAsiaTheme="minorEastAsia"/>
          <w:smallCaps w:val="0"/>
          <w:noProof/>
          <w:kern w:val="2"/>
          <w:sz w:val="24"/>
          <w:szCs w:val="24"/>
          <w:lang w:val="en-US" w:eastAsia="en-US" w:bidi="ar-SA"/>
          <w14:ligatures w14:val="standardContextual"/>
        </w:rPr>
      </w:pPr>
      <w:hyperlink w:anchor="_Toc182409672" w:history="1">
        <w:r w:rsidRPr="00BA2351">
          <w:rPr>
            <w:rStyle w:val="Hyperlink"/>
            <w:noProof/>
          </w:rPr>
          <w:t>HDInsight</w:t>
        </w:r>
        <w:r>
          <w:rPr>
            <w:noProof/>
            <w:webHidden/>
          </w:rPr>
          <w:tab/>
        </w:r>
        <w:r>
          <w:rPr>
            <w:noProof/>
            <w:webHidden/>
          </w:rPr>
          <w:fldChar w:fldCharType="begin"/>
        </w:r>
        <w:r>
          <w:rPr>
            <w:noProof/>
            <w:webHidden/>
          </w:rPr>
          <w:instrText xml:space="preserve"> PAGEREF _Toc182409672 \h </w:instrText>
        </w:r>
        <w:r>
          <w:rPr>
            <w:noProof/>
            <w:webHidden/>
          </w:rPr>
        </w:r>
        <w:r>
          <w:rPr>
            <w:noProof/>
            <w:webHidden/>
          </w:rPr>
          <w:fldChar w:fldCharType="separate"/>
        </w:r>
        <w:r>
          <w:rPr>
            <w:noProof/>
            <w:webHidden/>
          </w:rPr>
          <w:t>59</w:t>
        </w:r>
        <w:r>
          <w:rPr>
            <w:noProof/>
            <w:webHidden/>
          </w:rPr>
          <w:fldChar w:fldCharType="end"/>
        </w:r>
      </w:hyperlink>
    </w:p>
    <w:p w14:paraId="4FD195A6" w14:textId="37CB7B36" w:rsidR="006D5705" w:rsidRDefault="006D5705">
      <w:pPr>
        <w:pStyle w:val="TOC4"/>
        <w:rPr>
          <w:rFonts w:eastAsiaTheme="minorEastAsia"/>
          <w:smallCaps w:val="0"/>
          <w:noProof/>
          <w:kern w:val="2"/>
          <w:sz w:val="24"/>
          <w:szCs w:val="24"/>
          <w:lang w:val="en-US" w:eastAsia="en-US" w:bidi="ar-SA"/>
          <w14:ligatures w14:val="standardContextual"/>
        </w:rPr>
      </w:pPr>
      <w:hyperlink w:anchor="_Toc182409673" w:history="1">
        <w:r w:rsidRPr="00BA2351">
          <w:rPr>
            <w:rStyle w:val="Hyperlink"/>
            <w:noProof/>
          </w:rPr>
          <w:t>Azure Health Data Services (excluindo o Serviço MedTech)</w:t>
        </w:r>
        <w:r>
          <w:rPr>
            <w:noProof/>
            <w:webHidden/>
          </w:rPr>
          <w:tab/>
        </w:r>
        <w:r>
          <w:rPr>
            <w:noProof/>
            <w:webHidden/>
          </w:rPr>
          <w:fldChar w:fldCharType="begin"/>
        </w:r>
        <w:r>
          <w:rPr>
            <w:noProof/>
            <w:webHidden/>
          </w:rPr>
          <w:instrText xml:space="preserve"> PAGEREF _Toc182409673 \h </w:instrText>
        </w:r>
        <w:r>
          <w:rPr>
            <w:noProof/>
            <w:webHidden/>
          </w:rPr>
        </w:r>
        <w:r>
          <w:rPr>
            <w:noProof/>
            <w:webHidden/>
          </w:rPr>
          <w:fldChar w:fldCharType="separate"/>
        </w:r>
        <w:r>
          <w:rPr>
            <w:noProof/>
            <w:webHidden/>
          </w:rPr>
          <w:t>59</w:t>
        </w:r>
        <w:r>
          <w:rPr>
            <w:noProof/>
            <w:webHidden/>
          </w:rPr>
          <w:fldChar w:fldCharType="end"/>
        </w:r>
      </w:hyperlink>
    </w:p>
    <w:p w14:paraId="3666E69C" w14:textId="514686D1" w:rsidR="006D5705" w:rsidRDefault="006D5705">
      <w:pPr>
        <w:pStyle w:val="TOC4"/>
        <w:rPr>
          <w:rFonts w:eastAsiaTheme="minorEastAsia"/>
          <w:smallCaps w:val="0"/>
          <w:noProof/>
          <w:kern w:val="2"/>
          <w:sz w:val="24"/>
          <w:szCs w:val="24"/>
          <w:lang w:val="en-US" w:eastAsia="en-US" w:bidi="ar-SA"/>
          <w14:ligatures w14:val="standardContextual"/>
        </w:rPr>
      </w:pPr>
      <w:hyperlink w:anchor="_Toc182409674" w:history="1">
        <w:r w:rsidRPr="00BA2351">
          <w:rPr>
            <w:rStyle w:val="Hyperlink"/>
            <w:noProof/>
          </w:rPr>
          <w:t>Health Bot</w:t>
        </w:r>
        <w:r>
          <w:rPr>
            <w:noProof/>
            <w:webHidden/>
          </w:rPr>
          <w:tab/>
        </w:r>
        <w:r>
          <w:rPr>
            <w:noProof/>
            <w:webHidden/>
          </w:rPr>
          <w:fldChar w:fldCharType="begin"/>
        </w:r>
        <w:r>
          <w:rPr>
            <w:noProof/>
            <w:webHidden/>
          </w:rPr>
          <w:instrText xml:space="preserve"> PAGEREF _Toc182409674 \h </w:instrText>
        </w:r>
        <w:r>
          <w:rPr>
            <w:noProof/>
            <w:webHidden/>
          </w:rPr>
        </w:r>
        <w:r>
          <w:rPr>
            <w:noProof/>
            <w:webHidden/>
          </w:rPr>
          <w:fldChar w:fldCharType="separate"/>
        </w:r>
        <w:r>
          <w:rPr>
            <w:noProof/>
            <w:webHidden/>
          </w:rPr>
          <w:t>60</w:t>
        </w:r>
        <w:r>
          <w:rPr>
            <w:noProof/>
            <w:webHidden/>
          </w:rPr>
          <w:fldChar w:fldCharType="end"/>
        </w:r>
      </w:hyperlink>
    </w:p>
    <w:p w14:paraId="24A9C3CB" w14:textId="0B60301D" w:rsidR="006D5705" w:rsidRDefault="006D5705">
      <w:pPr>
        <w:pStyle w:val="TOC4"/>
        <w:rPr>
          <w:rFonts w:eastAsiaTheme="minorEastAsia"/>
          <w:smallCaps w:val="0"/>
          <w:noProof/>
          <w:kern w:val="2"/>
          <w:sz w:val="24"/>
          <w:szCs w:val="24"/>
          <w:lang w:val="en-US" w:eastAsia="en-US" w:bidi="ar-SA"/>
          <w14:ligatures w14:val="standardContextual"/>
        </w:rPr>
      </w:pPr>
      <w:hyperlink w:anchor="_Toc182409675" w:history="1">
        <w:r w:rsidRPr="00BA2351">
          <w:rPr>
            <w:rStyle w:val="Hyperlink"/>
            <w:noProof/>
          </w:rPr>
          <w:t>Proteção de Informação do Azure</w:t>
        </w:r>
        <w:r>
          <w:rPr>
            <w:noProof/>
            <w:webHidden/>
          </w:rPr>
          <w:tab/>
        </w:r>
        <w:r>
          <w:rPr>
            <w:noProof/>
            <w:webHidden/>
          </w:rPr>
          <w:fldChar w:fldCharType="begin"/>
        </w:r>
        <w:r>
          <w:rPr>
            <w:noProof/>
            <w:webHidden/>
          </w:rPr>
          <w:instrText xml:space="preserve"> PAGEREF _Toc182409675 \h </w:instrText>
        </w:r>
        <w:r>
          <w:rPr>
            <w:noProof/>
            <w:webHidden/>
          </w:rPr>
        </w:r>
        <w:r>
          <w:rPr>
            <w:noProof/>
            <w:webHidden/>
          </w:rPr>
          <w:fldChar w:fldCharType="separate"/>
        </w:r>
        <w:r>
          <w:rPr>
            <w:noProof/>
            <w:webHidden/>
          </w:rPr>
          <w:t>60</w:t>
        </w:r>
        <w:r>
          <w:rPr>
            <w:noProof/>
            <w:webHidden/>
          </w:rPr>
          <w:fldChar w:fldCharType="end"/>
        </w:r>
      </w:hyperlink>
    </w:p>
    <w:p w14:paraId="1FC90369" w14:textId="1F55CAE9" w:rsidR="006D5705" w:rsidRDefault="006D5705">
      <w:pPr>
        <w:pStyle w:val="TOC4"/>
        <w:rPr>
          <w:rFonts w:eastAsiaTheme="minorEastAsia"/>
          <w:smallCaps w:val="0"/>
          <w:noProof/>
          <w:kern w:val="2"/>
          <w:sz w:val="24"/>
          <w:szCs w:val="24"/>
          <w:lang w:val="en-US" w:eastAsia="en-US" w:bidi="ar-SA"/>
          <w14:ligatures w14:val="standardContextual"/>
        </w:rPr>
      </w:pPr>
      <w:hyperlink w:anchor="_Toc182409676" w:history="1">
        <w:r w:rsidRPr="00BA2351">
          <w:rPr>
            <w:rStyle w:val="Hyperlink"/>
            <w:noProof/>
          </w:rPr>
          <w:t>Azure IoT Central</w:t>
        </w:r>
        <w:r>
          <w:rPr>
            <w:noProof/>
            <w:webHidden/>
          </w:rPr>
          <w:tab/>
        </w:r>
        <w:r>
          <w:rPr>
            <w:noProof/>
            <w:webHidden/>
          </w:rPr>
          <w:fldChar w:fldCharType="begin"/>
        </w:r>
        <w:r>
          <w:rPr>
            <w:noProof/>
            <w:webHidden/>
          </w:rPr>
          <w:instrText xml:space="preserve"> PAGEREF _Toc182409676 \h </w:instrText>
        </w:r>
        <w:r>
          <w:rPr>
            <w:noProof/>
            <w:webHidden/>
          </w:rPr>
        </w:r>
        <w:r>
          <w:rPr>
            <w:noProof/>
            <w:webHidden/>
          </w:rPr>
          <w:fldChar w:fldCharType="separate"/>
        </w:r>
        <w:r>
          <w:rPr>
            <w:noProof/>
            <w:webHidden/>
          </w:rPr>
          <w:t>60</w:t>
        </w:r>
        <w:r>
          <w:rPr>
            <w:noProof/>
            <w:webHidden/>
          </w:rPr>
          <w:fldChar w:fldCharType="end"/>
        </w:r>
      </w:hyperlink>
    </w:p>
    <w:p w14:paraId="7D94A39D" w14:textId="3749EE8A" w:rsidR="006D5705" w:rsidRDefault="006D5705">
      <w:pPr>
        <w:pStyle w:val="TOC4"/>
        <w:rPr>
          <w:rFonts w:eastAsiaTheme="minorEastAsia"/>
          <w:smallCaps w:val="0"/>
          <w:noProof/>
          <w:kern w:val="2"/>
          <w:sz w:val="24"/>
          <w:szCs w:val="24"/>
          <w:lang w:val="en-US" w:eastAsia="en-US" w:bidi="ar-SA"/>
          <w14:ligatures w14:val="standardContextual"/>
        </w:rPr>
      </w:pPr>
      <w:hyperlink w:anchor="_Toc182409677" w:history="1">
        <w:r w:rsidRPr="00BA2351">
          <w:rPr>
            <w:rStyle w:val="Hyperlink"/>
            <w:noProof/>
          </w:rPr>
          <w:t>Hub IoT do Azure</w:t>
        </w:r>
        <w:r>
          <w:rPr>
            <w:noProof/>
            <w:webHidden/>
          </w:rPr>
          <w:tab/>
        </w:r>
        <w:r>
          <w:rPr>
            <w:noProof/>
            <w:webHidden/>
          </w:rPr>
          <w:fldChar w:fldCharType="begin"/>
        </w:r>
        <w:r>
          <w:rPr>
            <w:noProof/>
            <w:webHidden/>
          </w:rPr>
          <w:instrText xml:space="preserve"> PAGEREF _Toc182409677 \h </w:instrText>
        </w:r>
        <w:r>
          <w:rPr>
            <w:noProof/>
            <w:webHidden/>
          </w:rPr>
        </w:r>
        <w:r>
          <w:rPr>
            <w:noProof/>
            <w:webHidden/>
          </w:rPr>
          <w:fldChar w:fldCharType="separate"/>
        </w:r>
        <w:r>
          <w:rPr>
            <w:noProof/>
            <w:webHidden/>
          </w:rPr>
          <w:t>61</w:t>
        </w:r>
        <w:r>
          <w:rPr>
            <w:noProof/>
            <w:webHidden/>
          </w:rPr>
          <w:fldChar w:fldCharType="end"/>
        </w:r>
      </w:hyperlink>
    </w:p>
    <w:p w14:paraId="4A55C162" w14:textId="292B54E4" w:rsidR="006D5705" w:rsidRDefault="006D5705">
      <w:pPr>
        <w:pStyle w:val="TOC4"/>
        <w:rPr>
          <w:rFonts w:eastAsiaTheme="minorEastAsia"/>
          <w:smallCaps w:val="0"/>
          <w:noProof/>
          <w:kern w:val="2"/>
          <w:sz w:val="24"/>
          <w:szCs w:val="24"/>
          <w:lang w:val="en-US" w:eastAsia="en-US" w:bidi="ar-SA"/>
          <w14:ligatures w14:val="standardContextual"/>
        </w:rPr>
      </w:pPr>
      <w:hyperlink w:anchor="_Toc182409678" w:history="1">
        <w:r w:rsidRPr="00BA2351">
          <w:rPr>
            <w:rStyle w:val="Hyperlink"/>
            <w:noProof/>
          </w:rPr>
          <w:t>Cofre de Chaves</w:t>
        </w:r>
        <w:r>
          <w:rPr>
            <w:noProof/>
            <w:webHidden/>
          </w:rPr>
          <w:tab/>
        </w:r>
        <w:r>
          <w:rPr>
            <w:noProof/>
            <w:webHidden/>
          </w:rPr>
          <w:fldChar w:fldCharType="begin"/>
        </w:r>
        <w:r>
          <w:rPr>
            <w:noProof/>
            <w:webHidden/>
          </w:rPr>
          <w:instrText xml:space="preserve"> PAGEREF _Toc182409678 \h </w:instrText>
        </w:r>
        <w:r>
          <w:rPr>
            <w:noProof/>
            <w:webHidden/>
          </w:rPr>
        </w:r>
        <w:r>
          <w:rPr>
            <w:noProof/>
            <w:webHidden/>
          </w:rPr>
          <w:fldChar w:fldCharType="separate"/>
        </w:r>
        <w:r>
          <w:rPr>
            <w:noProof/>
            <w:webHidden/>
          </w:rPr>
          <w:t>62</w:t>
        </w:r>
        <w:r>
          <w:rPr>
            <w:noProof/>
            <w:webHidden/>
          </w:rPr>
          <w:fldChar w:fldCharType="end"/>
        </w:r>
      </w:hyperlink>
    </w:p>
    <w:p w14:paraId="56E8B679" w14:textId="05534D96" w:rsidR="006D5705" w:rsidRDefault="006D5705">
      <w:pPr>
        <w:pStyle w:val="TOC4"/>
        <w:rPr>
          <w:rFonts w:eastAsiaTheme="minorEastAsia"/>
          <w:smallCaps w:val="0"/>
          <w:noProof/>
          <w:kern w:val="2"/>
          <w:sz w:val="24"/>
          <w:szCs w:val="24"/>
          <w:lang w:val="en-US" w:eastAsia="en-US" w:bidi="ar-SA"/>
          <w14:ligatures w14:val="standardContextual"/>
        </w:rPr>
      </w:pPr>
      <w:hyperlink w:anchor="_Toc182409679" w:history="1">
        <w:r w:rsidRPr="00BA2351">
          <w:rPr>
            <w:rStyle w:val="Hyperlink"/>
            <w:noProof/>
            <w:lang w:val="en-IN"/>
          </w:rPr>
          <w:t>Azure Key Vault Managed HSM</w:t>
        </w:r>
        <w:r>
          <w:rPr>
            <w:noProof/>
            <w:webHidden/>
          </w:rPr>
          <w:tab/>
        </w:r>
        <w:r>
          <w:rPr>
            <w:noProof/>
            <w:webHidden/>
          </w:rPr>
          <w:fldChar w:fldCharType="begin"/>
        </w:r>
        <w:r>
          <w:rPr>
            <w:noProof/>
            <w:webHidden/>
          </w:rPr>
          <w:instrText xml:space="preserve"> PAGEREF _Toc182409679 \h </w:instrText>
        </w:r>
        <w:r>
          <w:rPr>
            <w:noProof/>
            <w:webHidden/>
          </w:rPr>
        </w:r>
        <w:r>
          <w:rPr>
            <w:noProof/>
            <w:webHidden/>
          </w:rPr>
          <w:fldChar w:fldCharType="separate"/>
        </w:r>
        <w:r>
          <w:rPr>
            <w:noProof/>
            <w:webHidden/>
          </w:rPr>
          <w:t>62</w:t>
        </w:r>
        <w:r>
          <w:rPr>
            <w:noProof/>
            <w:webHidden/>
          </w:rPr>
          <w:fldChar w:fldCharType="end"/>
        </w:r>
      </w:hyperlink>
    </w:p>
    <w:p w14:paraId="38AD330C" w14:textId="7AB59AA8" w:rsidR="006D5705" w:rsidRDefault="006D5705">
      <w:pPr>
        <w:pStyle w:val="TOC4"/>
        <w:rPr>
          <w:rFonts w:eastAsiaTheme="minorEastAsia"/>
          <w:smallCaps w:val="0"/>
          <w:noProof/>
          <w:kern w:val="2"/>
          <w:sz w:val="24"/>
          <w:szCs w:val="24"/>
          <w:lang w:val="en-US" w:eastAsia="en-US" w:bidi="ar-SA"/>
          <w14:ligatures w14:val="standardContextual"/>
        </w:rPr>
      </w:pPr>
      <w:hyperlink w:anchor="_Toc182409680" w:history="1">
        <w:r w:rsidRPr="00BA2351">
          <w:rPr>
            <w:rStyle w:val="Hyperlink"/>
            <w:noProof/>
          </w:rPr>
          <w:t>Azure Kubernetes Service (AKS)</w:t>
        </w:r>
        <w:r>
          <w:rPr>
            <w:noProof/>
            <w:webHidden/>
          </w:rPr>
          <w:tab/>
        </w:r>
        <w:r>
          <w:rPr>
            <w:noProof/>
            <w:webHidden/>
          </w:rPr>
          <w:fldChar w:fldCharType="begin"/>
        </w:r>
        <w:r>
          <w:rPr>
            <w:noProof/>
            <w:webHidden/>
          </w:rPr>
          <w:instrText xml:space="preserve"> PAGEREF _Toc182409680 \h </w:instrText>
        </w:r>
        <w:r>
          <w:rPr>
            <w:noProof/>
            <w:webHidden/>
          </w:rPr>
        </w:r>
        <w:r>
          <w:rPr>
            <w:noProof/>
            <w:webHidden/>
          </w:rPr>
          <w:fldChar w:fldCharType="separate"/>
        </w:r>
        <w:r>
          <w:rPr>
            <w:noProof/>
            <w:webHidden/>
          </w:rPr>
          <w:t>62</w:t>
        </w:r>
        <w:r>
          <w:rPr>
            <w:noProof/>
            <w:webHidden/>
          </w:rPr>
          <w:fldChar w:fldCharType="end"/>
        </w:r>
      </w:hyperlink>
    </w:p>
    <w:p w14:paraId="678C2D32" w14:textId="05E44B3F" w:rsidR="006D5705" w:rsidRDefault="006D5705">
      <w:pPr>
        <w:pStyle w:val="TOC4"/>
        <w:rPr>
          <w:rFonts w:eastAsiaTheme="minorEastAsia"/>
          <w:smallCaps w:val="0"/>
          <w:noProof/>
          <w:kern w:val="2"/>
          <w:sz w:val="24"/>
          <w:szCs w:val="24"/>
          <w:lang w:val="en-US" w:eastAsia="en-US" w:bidi="ar-SA"/>
          <w14:ligatures w14:val="standardContextual"/>
        </w:rPr>
      </w:pPr>
      <w:hyperlink w:anchor="_Toc182409681" w:history="1">
        <w:r w:rsidRPr="00BA2351">
          <w:rPr>
            <w:rStyle w:val="Hyperlink"/>
            <w:noProof/>
          </w:rPr>
          <w:t>Azure Lab Services</w:t>
        </w:r>
        <w:r>
          <w:rPr>
            <w:noProof/>
            <w:webHidden/>
          </w:rPr>
          <w:tab/>
        </w:r>
        <w:r>
          <w:rPr>
            <w:noProof/>
            <w:webHidden/>
          </w:rPr>
          <w:fldChar w:fldCharType="begin"/>
        </w:r>
        <w:r>
          <w:rPr>
            <w:noProof/>
            <w:webHidden/>
          </w:rPr>
          <w:instrText xml:space="preserve"> PAGEREF _Toc182409681 \h </w:instrText>
        </w:r>
        <w:r>
          <w:rPr>
            <w:noProof/>
            <w:webHidden/>
          </w:rPr>
        </w:r>
        <w:r>
          <w:rPr>
            <w:noProof/>
            <w:webHidden/>
          </w:rPr>
          <w:fldChar w:fldCharType="separate"/>
        </w:r>
        <w:r>
          <w:rPr>
            <w:noProof/>
            <w:webHidden/>
          </w:rPr>
          <w:t>63</w:t>
        </w:r>
        <w:r>
          <w:rPr>
            <w:noProof/>
            <w:webHidden/>
          </w:rPr>
          <w:fldChar w:fldCharType="end"/>
        </w:r>
      </w:hyperlink>
    </w:p>
    <w:p w14:paraId="07AECF34" w14:textId="30671DF5" w:rsidR="006D5705" w:rsidRDefault="006D5705">
      <w:pPr>
        <w:pStyle w:val="TOC4"/>
        <w:rPr>
          <w:rFonts w:eastAsiaTheme="minorEastAsia"/>
          <w:smallCaps w:val="0"/>
          <w:noProof/>
          <w:kern w:val="2"/>
          <w:sz w:val="24"/>
          <w:szCs w:val="24"/>
          <w:lang w:val="en-US" w:eastAsia="en-US" w:bidi="ar-SA"/>
          <w14:ligatures w14:val="standardContextual"/>
        </w:rPr>
      </w:pPr>
      <w:hyperlink w:anchor="_Toc182409682" w:history="1">
        <w:r w:rsidRPr="00BA2351">
          <w:rPr>
            <w:rStyle w:val="Hyperlink"/>
            <w:noProof/>
          </w:rPr>
          <w:t>Balanceador de Carga do Azure</w:t>
        </w:r>
        <w:r>
          <w:rPr>
            <w:noProof/>
            <w:webHidden/>
          </w:rPr>
          <w:tab/>
        </w:r>
        <w:r>
          <w:rPr>
            <w:noProof/>
            <w:webHidden/>
          </w:rPr>
          <w:fldChar w:fldCharType="begin"/>
        </w:r>
        <w:r>
          <w:rPr>
            <w:noProof/>
            <w:webHidden/>
          </w:rPr>
          <w:instrText xml:space="preserve"> PAGEREF _Toc182409682 \h </w:instrText>
        </w:r>
        <w:r>
          <w:rPr>
            <w:noProof/>
            <w:webHidden/>
          </w:rPr>
        </w:r>
        <w:r>
          <w:rPr>
            <w:noProof/>
            <w:webHidden/>
          </w:rPr>
          <w:fldChar w:fldCharType="separate"/>
        </w:r>
        <w:r>
          <w:rPr>
            <w:noProof/>
            <w:webHidden/>
          </w:rPr>
          <w:t>64</w:t>
        </w:r>
        <w:r>
          <w:rPr>
            <w:noProof/>
            <w:webHidden/>
          </w:rPr>
          <w:fldChar w:fldCharType="end"/>
        </w:r>
      </w:hyperlink>
    </w:p>
    <w:p w14:paraId="584FB0EA" w14:textId="3D62A6CF" w:rsidR="006D5705" w:rsidRDefault="006D5705">
      <w:pPr>
        <w:pStyle w:val="TOC4"/>
        <w:rPr>
          <w:rFonts w:eastAsiaTheme="minorEastAsia"/>
          <w:smallCaps w:val="0"/>
          <w:noProof/>
          <w:kern w:val="2"/>
          <w:sz w:val="24"/>
          <w:szCs w:val="24"/>
          <w:lang w:val="en-US" w:eastAsia="en-US" w:bidi="ar-SA"/>
          <w14:ligatures w14:val="standardContextual"/>
        </w:rPr>
      </w:pPr>
      <w:hyperlink w:anchor="_Toc182409683" w:history="1">
        <w:r w:rsidRPr="00BA2351">
          <w:rPr>
            <w:rStyle w:val="Hyperlink"/>
            <w:noProof/>
          </w:rPr>
          <w:t>Azure Load Testing</w:t>
        </w:r>
        <w:r>
          <w:rPr>
            <w:noProof/>
            <w:webHidden/>
          </w:rPr>
          <w:tab/>
        </w:r>
        <w:r>
          <w:rPr>
            <w:noProof/>
            <w:webHidden/>
          </w:rPr>
          <w:fldChar w:fldCharType="begin"/>
        </w:r>
        <w:r>
          <w:rPr>
            <w:noProof/>
            <w:webHidden/>
          </w:rPr>
          <w:instrText xml:space="preserve"> PAGEREF _Toc182409683 \h </w:instrText>
        </w:r>
        <w:r>
          <w:rPr>
            <w:noProof/>
            <w:webHidden/>
          </w:rPr>
        </w:r>
        <w:r>
          <w:rPr>
            <w:noProof/>
            <w:webHidden/>
          </w:rPr>
          <w:fldChar w:fldCharType="separate"/>
        </w:r>
        <w:r>
          <w:rPr>
            <w:noProof/>
            <w:webHidden/>
          </w:rPr>
          <w:t>64</w:t>
        </w:r>
        <w:r>
          <w:rPr>
            <w:noProof/>
            <w:webHidden/>
          </w:rPr>
          <w:fldChar w:fldCharType="end"/>
        </w:r>
      </w:hyperlink>
    </w:p>
    <w:p w14:paraId="0442F59A" w14:textId="63585AD6" w:rsidR="006D5705" w:rsidRDefault="006D5705">
      <w:pPr>
        <w:pStyle w:val="TOC4"/>
        <w:rPr>
          <w:rFonts w:eastAsiaTheme="minorEastAsia"/>
          <w:smallCaps w:val="0"/>
          <w:noProof/>
          <w:kern w:val="2"/>
          <w:sz w:val="24"/>
          <w:szCs w:val="24"/>
          <w:lang w:val="en-US" w:eastAsia="en-US" w:bidi="ar-SA"/>
          <w14:ligatures w14:val="standardContextual"/>
        </w:rPr>
      </w:pPr>
      <w:hyperlink w:anchor="_Toc182409684" w:history="1">
        <w:r w:rsidRPr="00BA2351">
          <w:rPr>
            <w:rStyle w:val="Hyperlink"/>
            <w:noProof/>
          </w:rPr>
          <w:t>Log Analytics (SLA de Disponibilidade de Consultas)</w:t>
        </w:r>
        <w:r>
          <w:rPr>
            <w:noProof/>
            <w:webHidden/>
          </w:rPr>
          <w:tab/>
        </w:r>
        <w:r>
          <w:rPr>
            <w:noProof/>
            <w:webHidden/>
          </w:rPr>
          <w:fldChar w:fldCharType="begin"/>
        </w:r>
        <w:r>
          <w:rPr>
            <w:noProof/>
            <w:webHidden/>
          </w:rPr>
          <w:instrText xml:space="preserve"> PAGEREF _Toc182409684 \h </w:instrText>
        </w:r>
        <w:r>
          <w:rPr>
            <w:noProof/>
            <w:webHidden/>
          </w:rPr>
        </w:r>
        <w:r>
          <w:rPr>
            <w:noProof/>
            <w:webHidden/>
          </w:rPr>
          <w:fldChar w:fldCharType="separate"/>
        </w:r>
        <w:r>
          <w:rPr>
            <w:noProof/>
            <w:webHidden/>
          </w:rPr>
          <w:t>65</w:t>
        </w:r>
        <w:r>
          <w:rPr>
            <w:noProof/>
            <w:webHidden/>
          </w:rPr>
          <w:fldChar w:fldCharType="end"/>
        </w:r>
      </w:hyperlink>
    </w:p>
    <w:p w14:paraId="17D4BA56" w14:textId="143D765F" w:rsidR="006D5705" w:rsidRDefault="006D5705">
      <w:pPr>
        <w:pStyle w:val="TOC4"/>
        <w:rPr>
          <w:rFonts w:eastAsiaTheme="minorEastAsia"/>
          <w:smallCaps w:val="0"/>
          <w:noProof/>
          <w:kern w:val="2"/>
          <w:sz w:val="24"/>
          <w:szCs w:val="24"/>
          <w:lang w:val="en-US" w:eastAsia="en-US" w:bidi="ar-SA"/>
          <w14:ligatures w14:val="standardContextual"/>
        </w:rPr>
      </w:pPr>
      <w:hyperlink w:anchor="_Toc182409685" w:history="1">
        <w:r w:rsidRPr="00BA2351">
          <w:rPr>
            <w:rStyle w:val="Hyperlink"/>
            <w:noProof/>
          </w:rPr>
          <w:t>Aplicações Lógicas</w:t>
        </w:r>
        <w:r>
          <w:rPr>
            <w:noProof/>
            <w:webHidden/>
          </w:rPr>
          <w:tab/>
        </w:r>
        <w:r>
          <w:rPr>
            <w:noProof/>
            <w:webHidden/>
          </w:rPr>
          <w:fldChar w:fldCharType="begin"/>
        </w:r>
        <w:r>
          <w:rPr>
            <w:noProof/>
            <w:webHidden/>
          </w:rPr>
          <w:instrText xml:space="preserve"> PAGEREF _Toc182409685 \h </w:instrText>
        </w:r>
        <w:r>
          <w:rPr>
            <w:noProof/>
            <w:webHidden/>
          </w:rPr>
        </w:r>
        <w:r>
          <w:rPr>
            <w:noProof/>
            <w:webHidden/>
          </w:rPr>
          <w:fldChar w:fldCharType="separate"/>
        </w:r>
        <w:r>
          <w:rPr>
            <w:noProof/>
            <w:webHidden/>
          </w:rPr>
          <w:t>65</w:t>
        </w:r>
        <w:r>
          <w:rPr>
            <w:noProof/>
            <w:webHidden/>
          </w:rPr>
          <w:fldChar w:fldCharType="end"/>
        </w:r>
      </w:hyperlink>
    </w:p>
    <w:p w14:paraId="56FD4138" w14:textId="75E414F9" w:rsidR="006D5705" w:rsidRDefault="006D5705">
      <w:pPr>
        <w:pStyle w:val="TOC4"/>
        <w:rPr>
          <w:rFonts w:eastAsiaTheme="minorEastAsia"/>
          <w:smallCaps w:val="0"/>
          <w:noProof/>
          <w:kern w:val="2"/>
          <w:sz w:val="24"/>
          <w:szCs w:val="24"/>
          <w:lang w:val="en-US" w:eastAsia="en-US" w:bidi="ar-SA"/>
          <w14:ligatures w14:val="standardContextual"/>
        </w:rPr>
      </w:pPr>
      <w:hyperlink w:anchor="_Toc182409686" w:history="1">
        <w:r w:rsidRPr="00BA2351">
          <w:rPr>
            <w:rStyle w:val="Hyperlink"/>
            <w:noProof/>
          </w:rPr>
          <w:t>Azure Machine Learning</w:t>
        </w:r>
        <w:r>
          <w:rPr>
            <w:noProof/>
            <w:webHidden/>
          </w:rPr>
          <w:tab/>
        </w:r>
        <w:r>
          <w:rPr>
            <w:noProof/>
            <w:webHidden/>
          </w:rPr>
          <w:fldChar w:fldCharType="begin"/>
        </w:r>
        <w:r>
          <w:rPr>
            <w:noProof/>
            <w:webHidden/>
          </w:rPr>
          <w:instrText xml:space="preserve"> PAGEREF _Toc182409686 \h </w:instrText>
        </w:r>
        <w:r>
          <w:rPr>
            <w:noProof/>
            <w:webHidden/>
          </w:rPr>
        </w:r>
        <w:r>
          <w:rPr>
            <w:noProof/>
            <w:webHidden/>
          </w:rPr>
          <w:fldChar w:fldCharType="separate"/>
        </w:r>
        <w:r>
          <w:rPr>
            <w:noProof/>
            <w:webHidden/>
          </w:rPr>
          <w:t>66</w:t>
        </w:r>
        <w:r>
          <w:rPr>
            <w:noProof/>
            <w:webHidden/>
          </w:rPr>
          <w:fldChar w:fldCharType="end"/>
        </w:r>
      </w:hyperlink>
    </w:p>
    <w:p w14:paraId="4CBBE23A" w14:textId="6D8416A7" w:rsidR="006D5705" w:rsidRDefault="006D5705">
      <w:pPr>
        <w:pStyle w:val="TOC4"/>
        <w:rPr>
          <w:rFonts w:eastAsiaTheme="minorEastAsia"/>
          <w:smallCaps w:val="0"/>
          <w:noProof/>
          <w:kern w:val="2"/>
          <w:sz w:val="24"/>
          <w:szCs w:val="24"/>
          <w:lang w:val="en-US" w:eastAsia="en-US" w:bidi="ar-SA"/>
          <w14:ligatures w14:val="standardContextual"/>
        </w:rPr>
      </w:pPr>
      <w:hyperlink w:anchor="_Toc182409687" w:history="1">
        <w:r w:rsidRPr="00BA2351">
          <w:rPr>
            <w:rStyle w:val="Hyperlink"/>
            <w:noProof/>
            <w:lang w:val="en-IN"/>
          </w:rPr>
          <w:t>Azure Machine Learning Studio (clássico)</w:t>
        </w:r>
        <w:r>
          <w:rPr>
            <w:noProof/>
            <w:webHidden/>
          </w:rPr>
          <w:tab/>
        </w:r>
        <w:r>
          <w:rPr>
            <w:noProof/>
            <w:webHidden/>
          </w:rPr>
          <w:fldChar w:fldCharType="begin"/>
        </w:r>
        <w:r>
          <w:rPr>
            <w:noProof/>
            <w:webHidden/>
          </w:rPr>
          <w:instrText xml:space="preserve"> PAGEREF _Toc182409687 \h </w:instrText>
        </w:r>
        <w:r>
          <w:rPr>
            <w:noProof/>
            <w:webHidden/>
          </w:rPr>
        </w:r>
        <w:r>
          <w:rPr>
            <w:noProof/>
            <w:webHidden/>
          </w:rPr>
          <w:fldChar w:fldCharType="separate"/>
        </w:r>
        <w:r>
          <w:rPr>
            <w:noProof/>
            <w:webHidden/>
          </w:rPr>
          <w:t>66</w:t>
        </w:r>
        <w:r>
          <w:rPr>
            <w:noProof/>
            <w:webHidden/>
          </w:rPr>
          <w:fldChar w:fldCharType="end"/>
        </w:r>
      </w:hyperlink>
    </w:p>
    <w:p w14:paraId="5EE29F96" w14:textId="6767E2F6" w:rsidR="006D5705" w:rsidRDefault="006D5705">
      <w:pPr>
        <w:pStyle w:val="TOC4"/>
        <w:rPr>
          <w:rFonts w:eastAsiaTheme="minorEastAsia"/>
          <w:smallCaps w:val="0"/>
          <w:noProof/>
          <w:kern w:val="2"/>
          <w:sz w:val="24"/>
          <w:szCs w:val="24"/>
          <w:lang w:val="en-US" w:eastAsia="en-US" w:bidi="ar-SA"/>
          <w14:ligatures w14:val="standardContextual"/>
        </w:rPr>
      </w:pPr>
      <w:hyperlink w:anchor="_Toc182409688" w:history="1">
        <w:r w:rsidRPr="00BA2351">
          <w:rPr>
            <w:rStyle w:val="Hyperlink"/>
            <w:noProof/>
          </w:rPr>
          <w:t>Azure Managed Grafana</w:t>
        </w:r>
        <w:r>
          <w:rPr>
            <w:noProof/>
            <w:webHidden/>
          </w:rPr>
          <w:tab/>
        </w:r>
        <w:r>
          <w:rPr>
            <w:noProof/>
            <w:webHidden/>
          </w:rPr>
          <w:fldChar w:fldCharType="begin"/>
        </w:r>
        <w:r>
          <w:rPr>
            <w:noProof/>
            <w:webHidden/>
          </w:rPr>
          <w:instrText xml:space="preserve"> PAGEREF _Toc182409688 \h </w:instrText>
        </w:r>
        <w:r>
          <w:rPr>
            <w:noProof/>
            <w:webHidden/>
          </w:rPr>
        </w:r>
        <w:r>
          <w:rPr>
            <w:noProof/>
            <w:webHidden/>
          </w:rPr>
          <w:fldChar w:fldCharType="separate"/>
        </w:r>
        <w:r>
          <w:rPr>
            <w:noProof/>
            <w:webHidden/>
          </w:rPr>
          <w:t>67</w:t>
        </w:r>
        <w:r>
          <w:rPr>
            <w:noProof/>
            <w:webHidden/>
          </w:rPr>
          <w:fldChar w:fldCharType="end"/>
        </w:r>
      </w:hyperlink>
    </w:p>
    <w:p w14:paraId="37113980" w14:textId="7AFFE39B" w:rsidR="006D5705" w:rsidRDefault="006D5705">
      <w:pPr>
        <w:pStyle w:val="TOC4"/>
        <w:rPr>
          <w:rFonts w:eastAsiaTheme="minorEastAsia"/>
          <w:smallCaps w:val="0"/>
          <w:noProof/>
          <w:kern w:val="2"/>
          <w:sz w:val="24"/>
          <w:szCs w:val="24"/>
          <w:lang w:val="en-US" w:eastAsia="en-US" w:bidi="ar-SA"/>
          <w14:ligatures w14:val="standardContextual"/>
        </w:rPr>
      </w:pPr>
      <w:hyperlink w:anchor="_Toc182409689" w:history="1">
        <w:r w:rsidRPr="00BA2351">
          <w:rPr>
            <w:rStyle w:val="Hyperlink"/>
            <w:noProof/>
          </w:rPr>
          <w:t>Azure Managed Instance para Apache Cassandra</w:t>
        </w:r>
        <w:r>
          <w:rPr>
            <w:noProof/>
            <w:webHidden/>
          </w:rPr>
          <w:tab/>
        </w:r>
        <w:r>
          <w:rPr>
            <w:noProof/>
            <w:webHidden/>
          </w:rPr>
          <w:fldChar w:fldCharType="begin"/>
        </w:r>
        <w:r>
          <w:rPr>
            <w:noProof/>
            <w:webHidden/>
          </w:rPr>
          <w:instrText xml:space="preserve"> PAGEREF _Toc182409689 \h </w:instrText>
        </w:r>
        <w:r>
          <w:rPr>
            <w:noProof/>
            <w:webHidden/>
          </w:rPr>
        </w:r>
        <w:r>
          <w:rPr>
            <w:noProof/>
            <w:webHidden/>
          </w:rPr>
          <w:fldChar w:fldCharType="separate"/>
        </w:r>
        <w:r>
          <w:rPr>
            <w:noProof/>
            <w:webHidden/>
          </w:rPr>
          <w:t>67</w:t>
        </w:r>
        <w:r>
          <w:rPr>
            <w:noProof/>
            <w:webHidden/>
          </w:rPr>
          <w:fldChar w:fldCharType="end"/>
        </w:r>
      </w:hyperlink>
    </w:p>
    <w:p w14:paraId="2AD7AE94" w14:textId="2A28CE19" w:rsidR="006D5705" w:rsidRDefault="006D5705">
      <w:pPr>
        <w:pStyle w:val="TOC4"/>
        <w:rPr>
          <w:rFonts w:eastAsiaTheme="minorEastAsia"/>
          <w:smallCaps w:val="0"/>
          <w:noProof/>
          <w:kern w:val="2"/>
          <w:sz w:val="24"/>
          <w:szCs w:val="24"/>
          <w:lang w:val="en-US" w:eastAsia="en-US" w:bidi="ar-SA"/>
          <w14:ligatures w14:val="standardContextual"/>
        </w:rPr>
      </w:pPr>
      <w:hyperlink w:anchor="_Toc182409690" w:history="1">
        <w:r w:rsidRPr="00BA2351">
          <w:rPr>
            <w:rStyle w:val="Hyperlink"/>
            <w:noProof/>
          </w:rPr>
          <w:t>Azure Maps</w:t>
        </w:r>
        <w:r>
          <w:rPr>
            <w:noProof/>
            <w:webHidden/>
          </w:rPr>
          <w:tab/>
        </w:r>
        <w:r>
          <w:rPr>
            <w:noProof/>
            <w:webHidden/>
          </w:rPr>
          <w:fldChar w:fldCharType="begin"/>
        </w:r>
        <w:r>
          <w:rPr>
            <w:noProof/>
            <w:webHidden/>
          </w:rPr>
          <w:instrText xml:space="preserve"> PAGEREF _Toc182409690 \h </w:instrText>
        </w:r>
        <w:r>
          <w:rPr>
            <w:noProof/>
            <w:webHidden/>
          </w:rPr>
        </w:r>
        <w:r>
          <w:rPr>
            <w:noProof/>
            <w:webHidden/>
          </w:rPr>
          <w:fldChar w:fldCharType="separate"/>
        </w:r>
        <w:r>
          <w:rPr>
            <w:noProof/>
            <w:webHidden/>
          </w:rPr>
          <w:t>68</w:t>
        </w:r>
        <w:r>
          <w:rPr>
            <w:noProof/>
            <w:webHidden/>
          </w:rPr>
          <w:fldChar w:fldCharType="end"/>
        </w:r>
      </w:hyperlink>
    </w:p>
    <w:p w14:paraId="2F513DC1" w14:textId="5B9D3FA2" w:rsidR="006D5705" w:rsidRDefault="006D5705">
      <w:pPr>
        <w:pStyle w:val="TOC4"/>
        <w:rPr>
          <w:rFonts w:eastAsiaTheme="minorEastAsia"/>
          <w:smallCaps w:val="0"/>
          <w:noProof/>
          <w:kern w:val="2"/>
          <w:sz w:val="24"/>
          <w:szCs w:val="24"/>
          <w:lang w:val="en-US" w:eastAsia="en-US" w:bidi="ar-SA"/>
          <w14:ligatures w14:val="standardContextual"/>
        </w:rPr>
      </w:pPr>
      <w:hyperlink w:anchor="_Toc182409691" w:history="1">
        <w:r w:rsidRPr="00BA2351">
          <w:rPr>
            <w:rStyle w:val="Hyperlink"/>
            <w:noProof/>
          </w:rPr>
          <w:t>Serviços de Multimédia</w:t>
        </w:r>
        <w:r>
          <w:rPr>
            <w:noProof/>
            <w:webHidden/>
          </w:rPr>
          <w:tab/>
        </w:r>
        <w:r>
          <w:rPr>
            <w:noProof/>
            <w:webHidden/>
          </w:rPr>
          <w:fldChar w:fldCharType="begin"/>
        </w:r>
        <w:r>
          <w:rPr>
            <w:noProof/>
            <w:webHidden/>
          </w:rPr>
          <w:instrText xml:space="preserve"> PAGEREF _Toc182409691 \h </w:instrText>
        </w:r>
        <w:r>
          <w:rPr>
            <w:noProof/>
            <w:webHidden/>
          </w:rPr>
        </w:r>
        <w:r>
          <w:rPr>
            <w:noProof/>
            <w:webHidden/>
          </w:rPr>
          <w:fldChar w:fldCharType="separate"/>
        </w:r>
        <w:r>
          <w:rPr>
            <w:noProof/>
            <w:webHidden/>
          </w:rPr>
          <w:t>69</w:t>
        </w:r>
        <w:r>
          <w:rPr>
            <w:noProof/>
            <w:webHidden/>
          </w:rPr>
          <w:fldChar w:fldCharType="end"/>
        </w:r>
      </w:hyperlink>
    </w:p>
    <w:p w14:paraId="5ABAF4B8" w14:textId="6CB07024" w:rsidR="006D5705" w:rsidRDefault="006D5705">
      <w:pPr>
        <w:pStyle w:val="TOC4"/>
        <w:rPr>
          <w:rFonts w:eastAsiaTheme="minorEastAsia"/>
          <w:smallCaps w:val="0"/>
          <w:noProof/>
          <w:kern w:val="2"/>
          <w:sz w:val="24"/>
          <w:szCs w:val="24"/>
          <w:lang w:val="en-US" w:eastAsia="en-US" w:bidi="ar-SA"/>
          <w14:ligatures w14:val="standardContextual"/>
        </w:rPr>
      </w:pPr>
      <w:hyperlink w:anchor="_Toc182409692" w:history="1">
        <w:r w:rsidRPr="00BA2351">
          <w:rPr>
            <w:rStyle w:val="Hyperlink"/>
            <w:noProof/>
          </w:rPr>
          <w:t>Serviço MedTech</w:t>
        </w:r>
        <w:r>
          <w:rPr>
            <w:noProof/>
            <w:webHidden/>
          </w:rPr>
          <w:tab/>
        </w:r>
        <w:r>
          <w:rPr>
            <w:noProof/>
            <w:webHidden/>
          </w:rPr>
          <w:fldChar w:fldCharType="begin"/>
        </w:r>
        <w:r>
          <w:rPr>
            <w:noProof/>
            <w:webHidden/>
          </w:rPr>
          <w:instrText xml:space="preserve"> PAGEREF _Toc182409692 \h </w:instrText>
        </w:r>
        <w:r>
          <w:rPr>
            <w:noProof/>
            <w:webHidden/>
          </w:rPr>
        </w:r>
        <w:r>
          <w:rPr>
            <w:noProof/>
            <w:webHidden/>
          </w:rPr>
          <w:fldChar w:fldCharType="separate"/>
        </w:r>
        <w:r>
          <w:rPr>
            <w:noProof/>
            <w:webHidden/>
          </w:rPr>
          <w:t>71</w:t>
        </w:r>
        <w:r>
          <w:rPr>
            <w:noProof/>
            <w:webHidden/>
          </w:rPr>
          <w:fldChar w:fldCharType="end"/>
        </w:r>
      </w:hyperlink>
    </w:p>
    <w:p w14:paraId="514B2E5B" w14:textId="6DF06AC9" w:rsidR="006D5705" w:rsidRDefault="006D5705">
      <w:pPr>
        <w:pStyle w:val="TOC4"/>
        <w:rPr>
          <w:rFonts w:eastAsiaTheme="minorEastAsia"/>
          <w:smallCaps w:val="0"/>
          <w:noProof/>
          <w:kern w:val="2"/>
          <w:sz w:val="24"/>
          <w:szCs w:val="24"/>
          <w:lang w:val="en-US" w:eastAsia="en-US" w:bidi="ar-SA"/>
          <w14:ligatures w14:val="standardContextual"/>
        </w:rPr>
      </w:pPr>
      <w:hyperlink w:anchor="_Toc182409693" w:history="1">
        <w:r w:rsidRPr="00BA2351">
          <w:rPr>
            <w:rStyle w:val="Hyperlink"/>
            <w:noProof/>
          </w:rPr>
          <w:t>Microsoft Cost Management</w:t>
        </w:r>
        <w:r>
          <w:rPr>
            <w:noProof/>
            <w:webHidden/>
          </w:rPr>
          <w:tab/>
        </w:r>
        <w:r>
          <w:rPr>
            <w:noProof/>
            <w:webHidden/>
          </w:rPr>
          <w:fldChar w:fldCharType="begin"/>
        </w:r>
        <w:r>
          <w:rPr>
            <w:noProof/>
            <w:webHidden/>
          </w:rPr>
          <w:instrText xml:space="preserve"> PAGEREF _Toc182409693 \h </w:instrText>
        </w:r>
        <w:r>
          <w:rPr>
            <w:noProof/>
            <w:webHidden/>
          </w:rPr>
        </w:r>
        <w:r>
          <w:rPr>
            <w:noProof/>
            <w:webHidden/>
          </w:rPr>
          <w:fldChar w:fldCharType="separate"/>
        </w:r>
        <w:r>
          <w:rPr>
            <w:noProof/>
            <w:webHidden/>
          </w:rPr>
          <w:t>72</w:t>
        </w:r>
        <w:r>
          <w:rPr>
            <w:noProof/>
            <w:webHidden/>
          </w:rPr>
          <w:fldChar w:fldCharType="end"/>
        </w:r>
      </w:hyperlink>
    </w:p>
    <w:p w14:paraId="4C3E2808" w14:textId="3278DB0D" w:rsidR="006D5705" w:rsidRDefault="006D5705">
      <w:pPr>
        <w:pStyle w:val="TOC4"/>
        <w:rPr>
          <w:rFonts w:eastAsiaTheme="minorEastAsia"/>
          <w:smallCaps w:val="0"/>
          <w:noProof/>
          <w:kern w:val="2"/>
          <w:sz w:val="24"/>
          <w:szCs w:val="24"/>
          <w:lang w:val="en-US" w:eastAsia="en-US" w:bidi="ar-SA"/>
          <w14:ligatures w14:val="standardContextual"/>
        </w:rPr>
      </w:pPr>
      <w:hyperlink w:anchor="_Toc182409694" w:history="1">
        <w:r w:rsidRPr="00BA2351">
          <w:rPr>
            <w:rStyle w:val="Hyperlink"/>
            <w:noProof/>
          </w:rPr>
          <w:t>Microsoft Fabric</w:t>
        </w:r>
        <w:r>
          <w:rPr>
            <w:noProof/>
            <w:webHidden/>
          </w:rPr>
          <w:tab/>
        </w:r>
        <w:r>
          <w:rPr>
            <w:noProof/>
            <w:webHidden/>
          </w:rPr>
          <w:fldChar w:fldCharType="begin"/>
        </w:r>
        <w:r>
          <w:rPr>
            <w:noProof/>
            <w:webHidden/>
          </w:rPr>
          <w:instrText xml:space="preserve"> PAGEREF _Toc182409694 \h </w:instrText>
        </w:r>
        <w:r>
          <w:rPr>
            <w:noProof/>
            <w:webHidden/>
          </w:rPr>
        </w:r>
        <w:r>
          <w:rPr>
            <w:noProof/>
            <w:webHidden/>
          </w:rPr>
          <w:fldChar w:fldCharType="separate"/>
        </w:r>
        <w:r>
          <w:rPr>
            <w:noProof/>
            <w:webHidden/>
          </w:rPr>
          <w:t>72</w:t>
        </w:r>
        <w:r>
          <w:rPr>
            <w:noProof/>
            <w:webHidden/>
          </w:rPr>
          <w:fldChar w:fldCharType="end"/>
        </w:r>
      </w:hyperlink>
    </w:p>
    <w:p w14:paraId="0792A5FC" w14:textId="47850DB8" w:rsidR="006D5705" w:rsidRDefault="006D5705">
      <w:pPr>
        <w:pStyle w:val="TOC4"/>
        <w:rPr>
          <w:rFonts w:eastAsiaTheme="minorEastAsia"/>
          <w:smallCaps w:val="0"/>
          <w:noProof/>
          <w:kern w:val="2"/>
          <w:sz w:val="24"/>
          <w:szCs w:val="24"/>
          <w:lang w:val="en-US" w:eastAsia="en-US" w:bidi="ar-SA"/>
          <w14:ligatures w14:val="standardContextual"/>
        </w:rPr>
      </w:pPr>
      <w:hyperlink w:anchor="_Toc182409695" w:history="1">
        <w:r w:rsidRPr="00BA2351">
          <w:rPr>
            <w:rStyle w:val="Hyperlink"/>
            <w:noProof/>
          </w:rPr>
          <w:t>Microsoft Genomics</w:t>
        </w:r>
        <w:r>
          <w:rPr>
            <w:noProof/>
            <w:webHidden/>
          </w:rPr>
          <w:tab/>
        </w:r>
        <w:r>
          <w:rPr>
            <w:noProof/>
            <w:webHidden/>
          </w:rPr>
          <w:fldChar w:fldCharType="begin"/>
        </w:r>
        <w:r>
          <w:rPr>
            <w:noProof/>
            <w:webHidden/>
          </w:rPr>
          <w:instrText xml:space="preserve"> PAGEREF _Toc182409695 \h </w:instrText>
        </w:r>
        <w:r>
          <w:rPr>
            <w:noProof/>
            <w:webHidden/>
          </w:rPr>
        </w:r>
        <w:r>
          <w:rPr>
            <w:noProof/>
            <w:webHidden/>
          </w:rPr>
          <w:fldChar w:fldCharType="separate"/>
        </w:r>
        <w:r>
          <w:rPr>
            <w:noProof/>
            <w:webHidden/>
          </w:rPr>
          <w:t>73</w:t>
        </w:r>
        <w:r>
          <w:rPr>
            <w:noProof/>
            <w:webHidden/>
          </w:rPr>
          <w:fldChar w:fldCharType="end"/>
        </w:r>
      </w:hyperlink>
    </w:p>
    <w:p w14:paraId="1FF65751" w14:textId="7343B924" w:rsidR="006D5705" w:rsidRDefault="006D5705">
      <w:pPr>
        <w:pStyle w:val="TOC4"/>
        <w:rPr>
          <w:rFonts w:eastAsiaTheme="minorEastAsia"/>
          <w:smallCaps w:val="0"/>
          <w:noProof/>
          <w:kern w:val="2"/>
          <w:sz w:val="24"/>
          <w:szCs w:val="24"/>
          <w:lang w:val="en-US" w:eastAsia="en-US" w:bidi="ar-SA"/>
          <w14:ligatures w14:val="standardContextual"/>
        </w:rPr>
      </w:pPr>
      <w:hyperlink w:anchor="_Toc182409696" w:history="1">
        <w:r w:rsidRPr="00BA2351">
          <w:rPr>
            <w:rStyle w:val="Hyperlink"/>
            <w:noProof/>
          </w:rPr>
          <w:t>Microsoft Sentinel</w:t>
        </w:r>
        <w:r>
          <w:rPr>
            <w:noProof/>
            <w:webHidden/>
          </w:rPr>
          <w:tab/>
        </w:r>
        <w:r>
          <w:rPr>
            <w:noProof/>
            <w:webHidden/>
          </w:rPr>
          <w:fldChar w:fldCharType="begin"/>
        </w:r>
        <w:r>
          <w:rPr>
            <w:noProof/>
            <w:webHidden/>
          </w:rPr>
          <w:instrText xml:space="preserve"> PAGEREF _Toc182409696 \h </w:instrText>
        </w:r>
        <w:r>
          <w:rPr>
            <w:noProof/>
            <w:webHidden/>
          </w:rPr>
        </w:r>
        <w:r>
          <w:rPr>
            <w:noProof/>
            <w:webHidden/>
          </w:rPr>
          <w:fldChar w:fldCharType="separate"/>
        </w:r>
        <w:r>
          <w:rPr>
            <w:noProof/>
            <w:webHidden/>
          </w:rPr>
          <w:t>73</w:t>
        </w:r>
        <w:r>
          <w:rPr>
            <w:noProof/>
            <w:webHidden/>
          </w:rPr>
          <w:fldChar w:fldCharType="end"/>
        </w:r>
      </w:hyperlink>
    </w:p>
    <w:p w14:paraId="48807CB1" w14:textId="5503F883" w:rsidR="006D5705" w:rsidRDefault="006D5705">
      <w:pPr>
        <w:pStyle w:val="TOC4"/>
        <w:rPr>
          <w:rFonts w:eastAsiaTheme="minorEastAsia"/>
          <w:smallCaps w:val="0"/>
          <w:noProof/>
          <w:kern w:val="2"/>
          <w:sz w:val="24"/>
          <w:szCs w:val="24"/>
          <w:lang w:val="en-US" w:eastAsia="en-US" w:bidi="ar-SA"/>
          <w14:ligatures w14:val="standardContextual"/>
        </w:rPr>
      </w:pPr>
      <w:hyperlink w:anchor="_Toc182409697" w:history="1">
        <w:r w:rsidRPr="00BA2351">
          <w:rPr>
            <w:rStyle w:val="Hyperlink"/>
            <w:noProof/>
          </w:rPr>
          <w:t>Serviços Móveis</w:t>
        </w:r>
        <w:r>
          <w:rPr>
            <w:noProof/>
            <w:webHidden/>
          </w:rPr>
          <w:tab/>
        </w:r>
        <w:r>
          <w:rPr>
            <w:noProof/>
            <w:webHidden/>
          </w:rPr>
          <w:fldChar w:fldCharType="begin"/>
        </w:r>
        <w:r>
          <w:rPr>
            <w:noProof/>
            <w:webHidden/>
          </w:rPr>
          <w:instrText xml:space="preserve"> PAGEREF _Toc182409697 \h </w:instrText>
        </w:r>
        <w:r>
          <w:rPr>
            <w:noProof/>
            <w:webHidden/>
          </w:rPr>
        </w:r>
        <w:r>
          <w:rPr>
            <w:noProof/>
            <w:webHidden/>
          </w:rPr>
          <w:fldChar w:fldCharType="separate"/>
        </w:r>
        <w:r>
          <w:rPr>
            <w:noProof/>
            <w:webHidden/>
          </w:rPr>
          <w:t>73</w:t>
        </w:r>
        <w:r>
          <w:rPr>
            <w:noProof/>
            <w:webHidden/>
          </w:rPr>
          <w:fldChar w:fldCharType="end"/>
        </w:r>
      </w:hyperlink>
    </w:p>
    <w:p w14:paraId="043C69F9" w14:textId="00D30D7A" w:rsidR="006D5705" w:rsidRDefault="006D5705">
      <w:pPr>
        <w:pStyle w:val="TOC4"/>
        <w:rPr>
          <w:rFonts w:eastAsiaTheme="minorEastAsia"/>
          <w:smallCaps w:val="0"/>
          <w:noProof/>
          <w:kern w:val="2"/>
          <w:sz w:val="24"/>
          <w:szCs w:val="24"/>
          <w:lang w:val="en-US" w:eastAsia="en-US" w:bidi="ar-SA"/>
          <w14:ligatures w14:val="standardContextual"/>
        </w:rPr>
      </w:pPr>
      <w:hyperlink w:anchor="_Toc182409698" w:history="1">
        <w:r w:rsidRPr="00BA2351">
          <w:rPr>
            <w:rStyle w:val="Hyperlink"/>
            <w:noProof/>
          </w:rPr>
          <w:t>Azure Monitor</w:t>
        </w:r>
        <w:r>
          <w:rPr>
            <w:noProof/>
            <w:webHidden/>
          </w:rPr>
          <w:tab/>
        </w:r>
        <w:r>
          <w:rPr>
            <w:noProof/>
            <w:webHidden/>
          </w:rPr>
          <w:fldChar w:fldCharType="begin"/>
        </w:r>
        <w:r>
          <w:rPr>
            <w:noProof/>
            <w:webHidden/>
          </w:rPr>
          <w:instrText xml:space="preserve"> PAGEREF _Toc182409698 \h </w:instrText>
        </w:r>
        <w:r>
          <w:rPr>
            <w:noProof/>
            <w:webHidden/>
          </w:rPr>
        </w:r>
        <w:r>
          <w:rPr>
            <w:noProof/>
            <w:webHidden/>
          </w:rPr>
          <w:fldChar w:fldCharType="separate"/>
        </w:r>
        <w:r>
          <w:rPr>
            <w:noProof/>
            <w:webHidden/>
          </w:rPr>
          <w:t>74</w:t>
        </w:r>
        <w:r>
          <w:rPr>
            <w:noProof/>
            <w:webHidden/>
          </w:rPr>
          <w:fldChar w:fldCharType="end"/>
        </w:r>
      </w:hyperlink>
    </w:p>
    <w:p w14:paraId="1CBA1681" w14:textId="793394EA" w:rsidR="006D5705" w:rsidRDefault="006D5705">
      <w:pPr>
        <w:pStyle w:val="TOC4"/>
        <w:rPr>
          <w:rFonts w:eastAsiaTheme="minorEastAsia"/>
          <w:smallCaps w:val="0"/>
          <w:noProof/>
          <w:kern w:val="2"/>
          <w:sz w:val="24"/>
          <w:szCs w:val="24"/>
          <w:lang w:val="en-US" w:eastAsia="en-US" w:bidi="ar-SA"/>
          <w14:ligatures w14:val="standardContextual"/>
        </w:rPr>
      </w:pPr>
      <w:hyperlink w:anchor="_Toc182409699" w:history="1">
        <w:r w:rsidRPr="00BA2351">
          <w:rPr>
            <w:rStyle w:val="Hyperlink"/>
            <w:noProof/>
          </w:rPr>
          <w:t>Azure NetApp Files</w:t>
        </w:r>
        <w:r>
          <w:rPr>
            <w:noProof/>
            <w:webHidden/>
          </w:rPr>
          <w:tab/>
        </w:r>
        <w:r>
          <w:rPr>
            <w:noProof/>
            <w:webHidden/>
          </w:rPr>
          <w:fldChar w:fldCharType="begin"/>
        </w:r>
        <w:r>
          <w:rPr>
            <w:noProof/>
            <w:webHidden/>
          </w:rPr>
          <w:instrText xml:space="preserve"> PAGEREF _Toc182409699 \h </w:instrText>
        </w:r>
        <w:r>
          <w:rPr>
            <w:noProof/>
            <w:webHidden/>
          </w:rPr>
        </w:r>
        <w:r>
          <w:rPr>
            <w:noProof/>
            <w:webHidden/>
          </w:rPr>
          <w:fldChar w:fldCharType="separate"/>
        </w:r>
        <w:r>
          <w:rPr>
            <w:noProof/>
            <w:webHidden/>
          </w:rPr>
          <w:t>75</w:t>
        </w:r>
        <w:r>
          <w:rPr>
            <w:noProof/>
            <w:webHidden/>
          </w:rPr>
          <w:fldChar w:fldCharType="end"/>
        </w:r>
      </w:hyperlink>
    </w:p>
    <w:p w14:paraId="29FE0A50" w14:textId="7BB19AF1" w:rsidR="006D5705" w:rsidRDefault="006D5705">
      <w:pPr>
        <w:pStyle w:val="TOC4"/>
        <w:rPr>
          <w:rFonts w:eastAsiaTheme="minorEastAsia"/>
          <w:smallCaps w:val="0"/>
          <w:noProof/>
          <w:kern w:val="2"/>
          <w:sz w:val="24"/>
          <w:szCs w:val="24"/>
          <w:lang w:val="en-US" w:eastAsia="en-US" w:bidi="ar-SA"/>
          <w14:ligatures w14:val="standardContextual"/>
        </w:rPr>
      </w:pPr>
      <w:hyperlink w:anchor="_Toc182409700" w:history="1">
        <w:r w:rsidRPr="00BA2351">
          <w:rPr>
            <w:rStyle w:val="Hyperlink"/>
            <w:noProof/>
          </w:rPr>
          <w:t>Observador de Rede</w:t>
        </w:r>
        <w:r>
          <w:rPr>
            <w:noProof/>
            <w:webHidden/>
          </w:rPr>
          <w:tab/>
        </w:r>
        <w:r>
          <w:rPr>
            <w:noProof/>
            <w:webHidden/>
          </w:rPr>
          <w:fldChar w:fldCharType="begin"/>
        </w:r>
        <w:r>
          <w:rPr>
            <w:noProof/>
            <w:webHidden/>
          </w:rPr>
          <w:instrText xml:space="preserve"> PAGEREF _Toc182409700 \h </w:instrText>
        </w:r>
        <w:r>
          <w:rPr>
            <w:noProof/>
            <w:webHidden/>
          </w:rPr>
        </w:r>
        <w:r>
          <w:rPr>
            <w:noProof/>
            <w:webHidden/>
          </w:rPr>
          <w:fldChar w:fldCharType="separate"/>
        </w:r>
        <w:r>
          <w:rPr>
            <w:noProof/>
            <w:webHidden/>
          </w:rPr>
          <w:t>75</w:t>
        </w:r>
        <w:r>
          <w:rPr>
            <w:noProof/>
            <w:webHidden/>
          </w:rPr>
          <w:fldChar w:fldCharType="end"/>
        </w:r>
      </w:hyperlink>
    </w:p>
    <w:p w14:paraId="11DE626D" w14:textId="0F4A4F4F" w:rsidR="006D5705" w:rsidRDefault="006D5705">
      <w:pPr>
        <w:pStyle w:val="TOC4"/>
        <w:rPr>
          <w:rFonts w:eastAsiaTheme="minorEastAsia"/>
          <w:smallCaps w:val="0"/>
          <w:noProof/>
          <w:kern w:val="2"/>
          <w:sz w:val="24"/>
          <w:szCs w:val="24"/>
          <w:lang w:val="en-US" w:eastAsia="en-US" w:bidi="ar-SA"/>
          <w14:ligatures w14:val="standardContextual"/>
        </w:rPr>
      </w:pPr>
      <w:hyperlink w:anchor="_Toc182409701" w:history="1">
        <w:r w:rsidRPr="00BA2351">
          <w:rPr>
            <w:rStyle w:val="Hyperlink"/>
            <w:noProof/>
          </w:rPr>
          <w:t>Hubs de Notificação</w:t>
        </w:r>
        <w:r>
          <w:rPr>
            <w:noProof/>
            <w:webHidden/>
          </w:rPr>
          <w:tab/>
        </w:r>
        <w:r>
          <w:rPr>
            <w:noProof/>
            <w:webHidden/>
          </w:rPr>
          <w:fldChar w:fldCharType="begin"/>
        </w:r>
        <w:r>
          <w:rPr>
            <w:noProof/>
            <w:webHidden/>
          </w:rPr>
          <w:instrText xml:space="preserve"> PAGEREF _Toc182409701 \h </w:instrText>
        </w:r>
        <w:r>
          <w:rPr>
            <w:noProof/>
            <w:webHidden/>
          </w:rPr>
        </w:r>
        <w:r>
          <w:rPr>
            <w:noProof/>
            <w:webHidden/>
          </w:rPr>
          <w:fldChar w:fldCharType="separate"/>
        </w:r>
        <w:r>
          <w:rPr>
            <w:noProof/>
            <w:webHidden/>
          </w:rPr>
          <w:t>76</w:t>
        </w:r>
        <w:r>
          <w:rPr>
            <w:noProof/>
            <w:webHidden/>
          </w:rPr>
          <w:fldChar w:fldCharType="end"/>
        </w:r>
      </w:hyperlink>
    </w:p>
    <w:p w14:paraId="1B72AE64" w14:textId="0A73A455" w:rsidR="006D5705" w:rsidRDefault="006D5705">
      <w:pPr>
        <w:pStyle w:val="TOC4"/>
        <w:rPr>
          <w:rFonts w:eastAsiaTheme="minorEastAsia"/>
          <w:smallCaps w:val="0"/>
          <w:noProof/>
          <w:kern w:val="2"/>
          <w:sz w:val="24"/>
          <w:szCs w:val="24"/>
          <w:lang w:val="en-US" w:eastAsia="en-US" w:bidi="ar-SA"/>
          <w14:ligatures w14:val="standardContextual"/>
        </w:rPr>
      </w:pPr>
      <w:hyperlink w:anchor="_Toc182409702" w:history="1">
        <w:r w:rsidRPr="00BA2351">
          <w:rPr>
            <w:rStyle w:val="Hyperlink"/>
            <w:noProof/>
          </w:rPr>
          <w:t>Reservas de Capacidade A Pedido para Máquinas Virtuais do Azure</w:t>
        </w:r>
        <w:r>
          <w:rPr>
            <w:noProof/>
            <w:webHidden/>
          </w:rPr>
          <w:tab/>
        </w:r>
        <w:r>
          <w:rPr>
            <w:noProof/>
            <w:webHidden/>
          </w:rPr>
          <w:fldChar w:fldCharType="begin"/>
        </w:r>
        <w:r>
          <w:rPr>
            <w:noProof/>
            <w:webHidden/>
          </w:rPr>
          <w:instrText xml:space="preserve"> PAGEREF _Toc182409702 \h </w:instrText>
        </w:r>
        <w:r>
          <w:rPr>
            <w:noProof/>
            <w:webHidden/>
          </w:rPr>
        </w:r>
        <w:r>
          <w:rPr>
            <w:noProof/>
            <w:webHidden/>
          </w:rPr>
          <w:fldChar w:fldCharType="separate"/>
        </w:r>
        <w:r>
          <w:rPr>
            <w:noProof/>
            <w:webHidden/>
          </w:rPr>
          <w:t>76</w:t>
        </w:r>
        <w:r>
          <w:rPr>
            <w:noProof/>
            <w:webHidden/>
          </w:rPr>
          <w:fldChar w:fldCharType="end"/>
        </w:r>
      </w:hyperlink>
    </w:p>
    <w:p w14:paraId="1998EE0C" w14:textId="633600E7" w:rsidR="006D5705" w:rsidRDefault="006D5705">
      <w:pPr>
        <w:pStyle w:val="TOC4"/>
        <w:rPr>
          <w:rFonts w:eastAsiaTheme="minorEastAsia"/>
          <w:smallCaps w:val="0"/>
          <w:noProof/>
          <w:kern w:val="2"/>
          <w:sz w:val="24"/>
          <w:szCs w:val="24"/>
          <w:lang w:val="en-US" w:eastAsia="en-US" w:bidi="ar-SA"/>
          <w14:ligatures w14:val="standardContextual"/>
        </w:rPr>
      </w:pPr>
      <w:hyperlink w:anchor="_Toc182409703" w:history="1">
        <w:r w:rsidRPr="00BA2351">
          <w:rPr>
            <w:rStyle w:val="Hyperlink"/>
            <w:noProof/>
          </w:rPr>
          <w:t>Azure OpenAI Service</w:t>
        </w:r>
        <w:r>
          <w:rPr>
            <w:noProof/>
            <w:webHidden/>
          </w:rPr>
          <w:tab/>
        </w:r>
        <w:r>
          <w:rPr>
            <w:noProof/>
            <w:webHidden/>
          </w:rPr>
          <w:fldChar w:fldCharType="begin"/>
        </w:r>
        <w:r>
          <w:rPr>
            <w:noProof/>
            <w:webHidden/>
          </w:rPr>
          <w:instrText xml:space="preserve"> PAGEREF _Toc182409703 \h </w:instrText>
        </w:r>
        <w:r>
          <w:rPr>
            <w:noProof/>
            <w:webHidden/>
          </w:rPr>
        </w:r>
        <w:r>
          <w:rPr>
            <w:noProof/>
            <w:webHidden/>
          </w:rPr>
          <w:fldChar w:fldCharType="separate"/>
        </w:r>
        <w:r>
          <w:rPr>
            <w:noProof/>
            <w:webHidden/>
          </w:rPr>
          <w:t>77</w:t>
        </w:r>
        <w:r>
          <w:rPr>
            <w:noProof/>
            <w:webHidden/>
          </w:rPr>
          <w:fldChar w:fldCharType="end"/>
        </w:r>
      </w:hyperlink>
    </w:p>
    <w:p w14:paraId="1AF11349" w14:textId="1092F10D" w:rsidR="006D5705" w:rsidRDefault="006D5705">
      <w:pPr>
        <w:pStyle w:val="TOC4"/>
        <w:rPr>
          <w:rFonts w:eastAsiaTheme="minorEastAsia"/>
          <w:smallCaps w:val="0"/>
          <w:noProof/>
          <w:kern w:val="2"/>
          <w:sz w:val="24"/>
          <w:szCs w:val="24"/>
          <w:lang w:val="en-US" w:eastAsia="en-US" w:bidi="ar-SA"/>
          <w14:ligatures w14:val="standardContextual"/>
        </w:rPr>
      </w:pPr>
      <w:hyperlink w:anchor="_Toc182409704" w:history="1">
        <w:r w:rsidRPr="00BA2351">
          <w:rPr>
            <w:rStyle w:val="Hyperlink"/>
            <w:noProof/>
          </w:rPr>
          <w:t>Azure Operator Insights</w:t>
        </w:r>
        <w:r>
          <w:rPr>
            <w:noProof/>
            <w:webHidden/>
          </w:rPr>
          <w:tab/>
        </w:r>
        <w:r>
          <w:rPr>
            <w:noProof/>
            <w:webHidden/>
          </w:rPr>
          <w:fldChar w:fldCharType="begin"/>
        </w:r>
        <w:r>
          <w:rPr>
            <w:noProof/>
            <w:webHidden/>
          </w:rPr>
          <w:instrText xml:space="preserve"> PAGEREF _Toc182409704 \h </w:instrText>
        </w:r>
        <w:r>
          <w:rPr>
            <w:noProof/>
            <w:webHidden/>
          </w:rPr>
        </w:r>
        <w:r>
          <w:rPr>
            <w:noProof/>
            <w:webHidden/>
          </w:rPr>
          <w:fldChar w:fldCharType="separate"/>
        </w:r>
        <w:r>
          <w:rPr>
            <w:noProof/>
            <w:webHidden/>
          </w:rPr>
          <w:t>78</w:t>
        </w:r>
        <w:r>
          <w:rPr>
            <w:noProof/>
            <w:webHidden/>
          </w:rPr>
          <w:fldChar w:fldCharType="end"/>
        </w:r>
      </w:hyperlink>
    </w:p>
    <w:p w14:paraId="2D7D9197" w14:textId="2842682A" w:rsidR="006D5705" w:rsidRDefault="006D5705">
      <w:pPr>
        <w:pStyle w:val="TOC4"/>
        <w:rPr>
          <w:rFonts w:eastAsiaTheme="minorEastAsia"/>
          <w:smallCaps w:val="0"/>
          <w:noProof/>
          <w:kern w:val="2"/>
          <w:sz w:val="24"/>
          <w:szCs w:val="24"/>
          <w:lang w:val="en-US" w:eastAsia="en-US" w:bidi="ar-SA"/>
          <w14:ligatures w14:val="standardContextual"/>
        </w:rPr>
      </w:pPr>
      <w:hyperlink w:anchor="_Toc182409705" w:history="1">
        <w:r w:rsidRPr="00BA2351">
          <w:rPr>
            <w:rStyle w:val="Hyperlink"/>
            <w:noProof/>
          </w:rPr>
          <w:t>Azure Operator Service Manager</w:t>
        </w:r>
        <w:r>
          <w:rPr>
            <w:noProof/>
            <w:webHidden/>
          </w:rPr>
          <w:tab/>
        </w:r>
        <w:r>
          <w:rPr>
            <w:noProof/>
            <w:webHidden/>
          </w:rPr>
          <w:fldChar w:fldCharType="begin"/>
        </w:r>
        <w:r>
          <w:rPr>
            <w:noProof/>
            <w:webHidden/>
          </w:rPr>
          <w:instrText xml:space="preserve"> PAGEREF _Toc182409705 \h </w:instrText>
        </w:r>
        <w:r>
          <w:rPr>
            <w:noProof/>
            <w:webHidden/>
          </w:rPr>
        </w:r>
        <w:r>
          <w:rPr>
            <w:noProof/>
            <w:webHidden/>
          </w:rPr>
          <w:fldChar w:fldCharType="separate"/>
        </w:r>
        <w:r>
          <w:rPr>
            <w:noProof/>
            <w:webHidden/>
          </w:rPr>
          <w:t>79</w:t>
        </w:r>
        <w:r>
          <w:rPr>
            <w:noProof/>
            <w:webHidden/>
          </w:rPr>
          <w:fldChar w:fldCharType="end"/>
        </w:r>
      </w:hyperlink>
    </w:p>
    <w:p w14:paraId="45471EEE" w14:textId="1C838B23" w:rsidR="006D5705" w:rsidRDefault="006D5705">
      <w:pPr>
        <w:pStyle w:val="TOC4"/>
        <w:rPr>
          <w:rFonts w:eastAsiaTheme="minorEastAsia"/>
          <w:smallCaps w:val="0"/>
          <w:noProof/>
          <w:kern w:val="2"/>
          <w:sz w:val="24"/>
          <w:szCs w:val="24"/>
          <w:lang w:val="en-US" w:eastAsia="en-US" w:bidi="ar-SA"/>
          <w14:ligatures w14:val="standardContextual"/>
        </w:rPr>
      </w:pPr>
      <w:hyperlink w:anchor="_Toc182409706" w:history="1">
        <w:r w:rsidRPr="00BA2351">
          <w:rPr>
            <w:rStyle w:val="Hyperlink"/>
            <w:noProof/>
          </w:rPr>
          <w:t>Estação Terrestre do Azure Orbital</w:t>
        </w:r>
        <w:r>
          <w:rPr>
            <w:noProof/>
            <w:webHidden/>
          </w:rPr>
          <w:tab/>
        </w:r>
        <w:r>
          <w:rPr>
            <w:noProof/>
            <w:webHidden/>
          </w:rPr>
          <w:fldChar w:fldCharType="begin"/>
        </w:r>
        <w:r>
          <w:rPr>
            <w:noProof/>
            <w:webHidden/>
          </w:rPr>
          <w:instrText xml:space="preserve"> PAGEREF _Toc182409706 \h </w:instrText>
        </w:r>
        <w:r>
          <w:rPr>
            <w:noProof/>
            <w:webHidden/>
          </w:rPr>
        </w:r>
        <w:r>
          <w:rPr>
            <w:noProof/>
            <w:webHidden/>
          </w:rPr>
          <w:fldChar w:fldCharType="separate"/>
        </w:r>
        <w:r>
          <w:rPr>
            <w:noProof/>
            <w:webHidden/>
          </w:rPr>
          <w:t>80</w:t>
        </w:r>
        <w:r>
          <w:rPr>
            <w:noProof/>
            <w:webHidden/>
          </w:rPr>
          <w:fldChar w:fldCharType="end"/>
        </w:r>
      </w:hyperlink>
    </w:p>
    <w:p w14:paraId="547A5877" w14:textId="6F56F3B3" w:rsidR="006D5705" w:rsidRDefault="006D5705">
      <w:pPr>
        <w:pStyle w:val="TOC4"/>
        <w:rPr>
          <w:rFonts w:eastAsiaTheme="minorEastAsia"/>
          <w:smallCaps w:val="0"/>
          <w:noProof/>
          <w:kern w:val="2"/>
          <w:sz w:val="24"/>
          <w:szCs w:val="24"/>
          <w:lang w:val="en-US" w:eastAsia="en-US" w:bidi="ar-SA"/>
          <w14:ligatures w14:val="standardContextual"/>
        </w:rPr>
      </w:pPr>
      <w:hyperlink w:anchor="_Toc182409707" w:history="1">
        <w:r w:rsidRPr="00BA2351">
          <w:rPr>
            <w:rStyle w:val="Hyperlink"/>
            <w:noProof/>
          </w:rPr>
          <w:t>Azure Private 5G Core</w:t>
        </w:r>
        <w:r>
          <w:rPr>
            <w:noProof/>
            <w:webHidden/>
          </w:rPr>
          <w:tab/>
        </w:r>
        <w:r>
          <w:rPr>
            <w:noProof/>
            <w:webHidden/>
          </w:rPr>
          <w:fldChar w:fldCharType="begin"/>
        </w:r>
        <w:r>
          <w:rPr>
            <w:noProof/>
            <w:webHidden/>
          </w:rPr>
          <w:instrText xml:space="preserve"> PAGEREF _Toc182409707 \h </w:instrText>
        </w:r>
        <w:r>
          <w:rPr>
            <w:noProof/>
            <w:webHidden/>
          </w:rPr>
        </w:r>
        <w:r>
          <w:rPr>
            <w:noProof/>
            <w:webHidden/>
          </w:rPr>
          <w:fldChar w:fldCharType="separate"/>
        </w:r>
        <w:r>
          <w:rPr>
            <w:noProof/>
            <w:webHidden/>
          </w:rPr>
          <w:t>80</w:t>
        </w:r>
        <w:r>
          <w:rPr>
            <w:noProof/>
            <w:webHidden/>
          </w:rPr>
          <w:fldChar w:fldCharType="end"/>
        </w:r>
      </w:hyperlink>
    </w:p>
    <w:p w14:paraId="74A0BC6C" w14:textId="1F3F340F" w:rsidR="006D5705" w:rsidRDefault="006D5705">
      <w:pPr>
        <w:pStyle w:val="TOC4"/>
        <w:rPr>
          <w:rFonts w:eastAsiaTheme="minorEastAsia"/>
          <w:smallCaps w:val="0"/>
          <w:noProof/>
          <w:kern w:val="2"/>
          <w:sz w:val="24"/>
          <w:szCs w:val="24"/>
          <w:lang w:val="en-US" w:eastAsia="en-US" w:bidi="ar-SA"/>
          <w14:ligatures w14:val="standardContextual"/>
        </w:rPr>
      </w:pPr>
      <w:hyperlink w:anchor="_Toc182409708" w:history="1">
        <w:r w:rsidRPr="00BA2351">
          <w:rPr>
            <w:rStyle w:val="Hyperlink"/>
            <w:noProof/>
          </w:rPr>
          <w:t>Azure Private Link</w:t>
        </w:r>
        <w:r>
          <w:rPr>
            <w:noProof/>
            <w:webHidden/>
          </w:rPr>
          <w:tab/>
        </w:r>
        <w:r>
          <w:rPr>
            <w:noProof/>
            <w:webHidden/>
          </w:rPr>
          <w:fldChar w:fldCharType="begin"/>
        </w:r>
        <w:r>
          <w:rPr>
            <w:noProof/>
            <w:webHidden/>
          </w:rPr>
          <w:instrText xml:space="preserve"> PAGEREF _Toc182409708 \h </w:instrText>
        </w:r>
        <w:r>
          <w:rPr>
            <w:noProof/>
            <w:webHidden/>
          </w:rPr>
        </w:r>
        <w:r>
          <w:rPr>
            <w:noProof/>
            <w:webHidden/>
          </w:rPr>
          <w:fldChar w:fldCharType="separate"/>
        </w:r>
        <w:r>
          <w:rPr>
            <w:noProof/>
            <w:webHidden/>
          </w:rPr>
          <w:t>81</w:t>
        </w:r>
        <w:r>
          <w:rPr>
            <w:noProof/>
            <w:webHidden/>
          </w:rPr>
          <w:fldChar w:fldCharType="end"/>
        </w:r>
      </w:hyperlink>
    </w:p>
    <w:p w14:paraId="55696A5A" w14:textId="78067100" w:rsidR="006D5705" w:rsidRDefault="006D5705">
      <w:pPr>
        <w:pStyle w:val="TOC4"/>
        <w:rPr>
          <w:rFonts w:eastAsiaTheme="minorEastAsia"/>
          <w:smallCaps w:val="0"/>
          <w:noProof/>
          <w:kern w:val="2"/>
          <w:sz w:val="24"/>
          <w:szCs w:val="24"/>
          <w:lang w:val="en-US" w:eastAsia="en-US" w:bidi="ar-SA"/>
          <w14:ligatures w14:val="standardContextual"/>
        </w:rPr>
      </w:pPr>
      <w:hyperlink w:anchor="_Toc182409709" w:history="1">
        <w:r w:rsidRPr="00BA2351">
          <w:rPr>
            <w:rStyle w:val="Hyperlink"/>
            <w:noProof/>
          </w:rPr>
          <w:t>Microsoft Purview</w:t>
        </w:r>
        <w:r>
          <w:rPr>
            <w:noProof/>
            <w:webHidden/>
          </w:rPr>
          <w:tab/>
        </w:r>
        <w:r>
          <w:rPr>
            <w:noProof/>
            <w:webHidden/>
          </w:rPr>
          <w:fldChar w:fldCharType="begin"/>
        </w:r>
        <w:r>
          <w:rPr>
            <w:noProof/>
            <w:webHidden/>
          </w:rPr>
          <w:instrText xml:space="preserve"> PAGEREF _Toc182409709 \h </w:instrText>
        </w:r>
        <w:r>
          <w:rPr>
            <w:noProof/>
            <w:webHidden/>
          </w:rPr>
        </w:r>
        <w:r>
          <w:rPr>
            <w:noProof/>
            <w:webHidden/>
          </w:rPr>
          <w:fldChar w:fldCharType="separate"/>
        </w:r>
        <w:r>
          <w:rPr>
            <w:noProof/>
            <w:webHidden/>
          </w:rPr>
          <w:t>82</w:t>
        </w:r>
        <w:r>
          <w:rPr>
            <w:noProof/>
            <w:webHidden/>
          </w:rPr>
          <w:fldChar w:fldCharType="end"/>
        </w:r>
      </w:hyperlink>
    </w:p>
    <w:p w14:paraId="4821E6EC" w14:textId="3CE6E8C3" w:rsidR="006D5705" w:rsidRDefault="006D5705">
      <w:pPr>
        <w:pStyle w:val="TOC4"/>
        <w:rPr>
          <w:rFonts w:eastAsiaTheme="minorEastAsia"/>
          <w:smallCaps w:val="0"/>
          <w:noProof/>
          <w:kern w:val="2"/>
          <w:sz w:val="24"/>
          <w:szCs w:val="24"/>
          <w:lang w:val="en-US" w:eastAsia="en-US" w:bidi="ar-SA"/>
          <w14:ligatures w14:val="standardContextual"/>
        </w:rPr>
      </w:pPr>
      <w:hyperlink w:anchor="_Toc182409710" w:history="1">
        <w:r w:rsidRPr="00BA2351">
          <w:rPr>
            <w:rStyle w:val="Hyperlink"/>
            <w:noProof/>
          </w:rPr>
          <w:t>Azure Red Hat OpenShift</w:t>
        </w:r>
        <w:r>
          <w:rPr>
            <w:noProof/>
            <w:webHidden/>
          </w:rPr>
          <w:tab/>
        </w:r>
        <w:r>
          <w:rPr>
            <w:noProof/>
            <w:webHidden/>
          </w:rPr>
          <w:fldChar w:fldCharType="begin"/>
        </w:r>
        <w:r>
          <w:rPr>
            <w:noProof/>
            <w:webHidden/>
          </w:rPr>
          <w:instrText xml:space="preserve"> PAGEREF _Toc182409710 \h </w:instrText>
        </w:r>
        <w:r>
          <w:rPr>
            <w:noProof/>
            <w:webHidden/>
          </w:rPr>
        </w:r>
        <w:r>
          <w:rPr>
            <w:noProof/>
            <w:webHidden/>
          </w:rPr>
          <w:fldChar w:fldCharType="separate"/>
        </w:r>
        <w:r>
          <w:rPr>
            <w:noProof/>
            <w:webHidden/>
          </w:rPr>
          <w:t>82</w:t>
        </w:r>
        <w:r>
          <w:rPr>
            <w:noProof/>
            <w:webHidden/>
          </w:rPr>
          <w:fldChar w:fldCharType="end"/>
        </w:r>
      </w:hyperlink>
    </w:p>
    <w:p w14:paraId="57A4B89C" w14:textId="53F7FB63" w:rsidR="006D5705" w:rsidRDefault="006D5705">
      <w:pPr>
        <w:pStyle w:val="TOC4"/>
        <w:rPr>
          <w:rFonts w:eastAsiaTheme="minorEastAsia"/>
          <w:smallCaps w:val="0"/>
          <w:noProof/>
          <w:kern w:val="2"/>
          <w:sz w:val="24"/>
          <w:szCs w:val="24"/>
          <w:lang w:val="en-US" w:eastAsia="en-US" w:bidi="ar-SA"/>
          <w14:ligatures w14:val="standardContextual"/>
        </w:rPr>
      </w:pPr>
      <w:hyperlink w:anchor="_Toc182409711" w:history="1">
        <w:r w:rsidRPr="00BA2351">
          <w:rPr>
            <w:rStyle w:val="Hyperlink"/>
            <w:noProof/>
          </w:rPr>
          <w:t>Composição Remota</w:t>
        </w:r>
        <w:r>
          <w:rPr>
            <w:noProof/>
            <w:webHidden/>
          </w:rPr>
          <w:tab/>
        </w:r>
        <w:r>
          <w:rPr>
            <w:noProof/>
            <w:webHidden/>
          </w:rPr>
          <w:fldChar w:fldCharType="begin"/>
        </w:r>
        <w:r>
          <w:rPr>
            <w:noProof/>
            <w:webHidden/>
          </w:rPr>
          <w:instrText xml:space="preserve"> PAGEREF _Toc182409711 \h </w:instrText>
        </w:r>
        <w:r>
          <w:rPr>
            <w:noProof/>
            <w:webHidden/>
          </w:rPr>
        </w:r>
        <w:r>
          <w:rPr>
            <w:noProof/>
            <w:webHidden/>
          </w:rPr>
          <w:fldChar w:fldCharType="separate"/>
        </w:r>
        <w:r>
          <w:rPr>
            <w:noProof/>
            <w:webHidden/>
          </w:rPr>
          <w:t>83</w:t>
        </w:r>
        <w:r>
          <w:rPr>
            <w:noProof/>
            <w:webHidden/>
          </w:rPr>
          <w:fldChar w:fldCharType="end"/>
        </w:r>
      </w:hyperlink>
    </w:p>
    <w:p w14:paraId="654B2072" w14:textId="53B9B960" w:rsidR="006D5705" w:rsidRDefault="006D5705">
      <w:pPr>
        <w:pStyle w:val="TOC4"/>
        <w:rPr>
          <w:rFonts w:eastAsiaTheme="minorEastAsia"/>
          <w:smallCaps w:val="0"/>
          <w:noProof/>
          <w:kern w:val="2"/>
          <w:sz w:val="24"/>
          <w:szCs w:val="24"/>
          <w:lang w:val="en-US" w:eastAsia="en-US" w:bidi="ar-SA"/>
          <w14:ligatures w14:val="standardContextual"/>
        </w:rPr>
      </w:pPr>
      <w:hyperlink w:anchor="_Toc182409712" w:history="1">
        <w:r w:rsidRPr="00BA2351">
          <w:rPr>
            <w:rStyle w:val="Hyperlink"/>
            <w:noProof/>
          </w:rPr>
          <w:t>Azure Route Server</w:t>
        </w:r>
        <w:r>
          <w:rPr>
            <w:noProof/>
            <w:webHidden/>
          </w:rPr>
          <w:tab/>
        </w:r>
        <w:r>
          <w:rPr>
            <w:noProof/>
            <w:webHidden/>
          </w:rPr>
          <w:fldChar w:fldCharType="begin"/>
        </w:r>
        <w:r>
          <w:rPr>
            <w:noProof/>
            <w:webHidden/>
          </w:rPr>
          <w:instrText xml:space="preserve"> PAGEREF _Toc182409712 \h </w:instrText>
        </w:r>
        <w:r>
          <w:rPr>
            <w:noProof/>
            <w:webHidden/>
          </w:rPr>
        </w:r>
        <w:r>
          <w:rPr>
            <w:noProof/>
            <w:webHidden/>
          </w:rPr>
          <w:fldChar w:fldCharType="separate"/>
        </w:r>
        <w:r>
          <w:rPr>
            <w:noProof/>
            <w:webHidden/>
          </w:rPr>
          <w:t>83</w:t>
        </w:r>
        <w:r>
          <w:rPr>
            <w:noProof/>
            <w:webHidden/>
          </w:rPr>
          <w:fldChar w:fldCharType="end"/>
        </w:r>
      </w:hyperlink>
    </w:p>
    <w:p w14:paraId="0E28A536" w14:textId="47C308FB" w:rsidR="006D5705" w:rsidRDefault="006D5705">
      <w:pPr>
        <w:pStyle w:val="TOC4"/>
        <w:rPr>
          <w:rFonts w:eastAsiaTheme="minorEastAsia"/>
          <w:smallCaps w:val="0"/>
          <w:noProof/>
          <w:kern w:val="2"/>
          <w:sz w:val="24"/>
          <w:szCs w:val="24"/>
          <w:lang w:val="en-US" w:eastAsia="en-US" w:bidi="ar-SA"/>
          <w14:ligatures w14:val="standardContextual"/>
        </w:rPr>
      </w:pPr>
      <w:hyperlink w:anchor="_Toc182409713" w:history="1">
        <w:r w:rsidRPr="00BA2351">
          <w:rPr>
            <w:rStyle w:val="Hyperlink"/>
            <w:noProof/>
          </w:rPr>
          <w:t>SAP HANA em Grandes Instâncias do Azure</w:t>
        </w:r>
        <w:r>
          <w:rPr>
            <w:noProof/>
            <w:webHidden/>
          </w:rPr>
          <w:tab/>
        </w:r>
        <w:r>
          <w:rPr>
            <w:noProof/>
            <w:webHidden/>
          </w:rPr>
          <w:fldChar w:fldCharType="begin"/>
        </w:r>
        <w:r>
          <w:rPr>
            <w:noProof/>
            <w:webHidden/>
          </w:rPr>
          <w:instrText xml:space="preserve"> PAGEREF _Toc182409713 \h </w:instrText>
        </w:r>
        <w:r>
          <w:rPr>
            <w:noProof/>
            <w:webHidden/>
          </w:rPr>
        </w:r>
        <w:r>
          <w:rPr>
            <w:noProof/>
            <w:webHidden/>
          </w:rPr>
          <w:fldChar w:fldCharType="separate"/>
        </w:r>
        <w:r>
          <w:rPr>
            <w:noProof/>
            <w:webHidden/>
          </w:rPr>
          <w:t>84</w:t>
        </w:r>
        <w:r>
          <w:rPr>
            <w:noProof/>
            <w:webHidden/>
          </w:rPr>
          <w:fldChar w:fldCharType="end"/>
        </w:r>
      </w:hyperlink>
    </w:p>
    <w:p w14:paraId="4856BC64" w14:textId="4E5DF3A7" w:rsidR="006D5705" w:rsidRDefault="006D5705">
      <w:pPr>
        <w:pStyle w:val="TOC4"/>
        <w:rPr>
          <w:rFonts w:eastAsiaTheme="minorEastAsia"/>
          <w:smallCaps w:val="0"/>
          <w:noProof/>
          <w:kern w:val="2"/>
          <w:sz w:val="24"/>
          <w:szCs w:val="24"/>
          <w:lang w:val="en-US" w:eastAsia="en-US" w:bidi="ar-SA"/>
          <w14:ligatures w14:val="standardContextual"/>
        </w:rPr>
      </w:pPr>
      <w:hyperlink w:anchor="_Toc182409714" w:history="1">
        <w:r w:rsidRPr="00BA2351">
          <w:rPr>
            <w:rStyle w:val="Hyperlink"/>
            <w:noProof/>
          </w:rPr>
          <w:t>Scheduler</w:t>
        </w:r>
        <w:r>
          <w:rPr>
            <w:noProof/>
            <w:webHidden/>
          </w:rPr>
          <w:tab/>
        </w:r>
        <w:r>
          <w:rPr>
            <w:noProof/>
            <w:webHidden/>
          </w:rPr>
          <w:fldChar w:fldCharType="begin"/>
        </w:r>
        <w:r>
          <w:rPr>
            <w:noProof/>
            <w:webHidden/>
          </w:rPr>
          <w:instrText xml:space="preserve"> PAGEREF _Toc182409714 \h </w:instrText>
        </w:r>
        <w:r>
          <w:rPr>
            <w:noProof/>
            <w:webHidden/>
          </w:rPr>
        </w:r>
        <w:r>
          <w:rPr>
            <w:noProof/>
            <w:webHidden/>
          </w:rPr>
          <w:fldChar w:fldCharType="separate"/>
        </w:r>
        <w:r>
          <w:rPr>
            <w:noProof/>
            <w:webHidden/>
          </w:rPr>
          <w:t>85</w:t>
        </w:r>
        <w:r>
          <w:rPr>
            <w:noProof/>
            <w:webHidden/>
          </w:rPr>
          <w:fldChar w:fldCharType="end"/>
        </w:r>
      </w:hyperlink>
    </w:p>
    <w:p w14:paraId="428635E0" w14:textId="6F0E7833" w:rsidR="006D5705" w:rsidRDefault="006D5705">
      <w:pPr>
        <w:pStyle w:val="TOC4"/>
        <w:rPr>
          <w:rFonts w:eastAsiaTheme="minorEastAsia"/>
          <w:smallCaps w:val="0"/>
          <w:noProof/>
          <w:kern w:val="2"/>
          <w:sz w:val="24"/>
          <w:szCs w:val="24"/>
          <w:lang w:val="en-US" w:eastAsia="en-US" w:bidi="ar-SA"/>
          <w14:ligatures w14:val="standardContextual"/>
        </w:rPr>
      </w:pPr>
      <w:hyperlink w:anchor="_Toc182409715" w:history="1">
        <w:r w:rsidRPr="00BA2351">
          <w:rPr>
            <w:rStyle w:val="Hyperlink"/>
            <w:noProof/>
          </w:rPr>
          <w:t>Barramento de Serviço</w:t>
        </w:r>
        <w:r>
          <w:rPr>
            <w:noProof/>
            <w:webHidden/>
          </w:rPr>
          <w:tab/>
        </w:r>
        <w:r>
          <w:rPr>
            <w:noProof/>
            <w:webHidden/>
          </w:rPr>
          <w:fldChar w:fldCharType="begin"/>
        </w:r>
        <w:r>
          <w:rPr>
            <w:noProof/>
            <w:webHidden/>
          </w:rPr>
          <w:instrText xml:space="preserve"> PAGEREF _Toc182409715 \h </w:instrText>
        </w:r>
        <w:r>
          <w:rPr>
            <w:noProof/>
            <w:webHidden/>
          </w:rPr>
        </w:r>
        <w:r>
          <w:rPr>
            <w:noProof/>
            <w:webHidden/>
          </w:rPr>
          <w:fldChar w:fldCharType="separate"/>
        </w:r>
        <w:r>
          <w:rPr>
            <w:noProof/>
            <w:webHidden/>
          </w:rPr>
          <w:t>85</w:t>
        </w:r>
        <w:r>
          <w:rPr>
            <w:noProof/>
            <w:webHidden/>
          </w:rPr>
          <w:fldChar w:fldCharType="end"/>
        </w:r>
      </w:hyperlink>
    </w:p>
    <w:p w14:paraId="31CD9B48" w14:textId="6B923AD9" w:rsidR="006D5705" w:rsidRDefault="006D5705">
      <w:pPr>
        <w:pStyle w:val="TOC4"/>
        <w:rPr>
          <w:rFonts w:eastAsiaTheme="minorEastAsia"/>
          <w:smallCaps w:val="0"/>
          <w:noProof/>
          <w:kern w:val="2"/>
          <w:sz w:val="24"/>
          <w:szCs w:val="24"/>
          <w:lang w:val="en-US" w:eastAsia="en-US" w:bidi="ar-SA"/>
          <w14:ligatures w14:val="standardContextual"/>
        </w:rPr>
      </w:pPr>
      <w:hyperlink w:anchor="_Toc182409716" w:history="1">
        <w:r w:rsidRPr="00BA2351">
          <w:rPr>
            <w:rStyle w:val="Hyperlink"/>
            <w:noProof/>
          </w:rPr>
          <w:t>Azure SignalR Service</w:t>
        </w:r>
        <w:r>
          <w:rPr>
            <w:noProof/>
            <w:webHidden/>
          </w:rPr>
          <w:tab/>
        </w:r>
        <w:r>
          <w:rPr>
            <w:noProof/>
            <w:webHidden/>
          </w:rPr>
          <w:fldChar w:fldCharType="begin"/>
        </w:r>
        <w:r>
          <w:rPr>
            <w:noProof/>
            <w:webHidden/>
          </w:rPr>
          <w:instrText xml:space="preserve"> PAGEREF _Toc182409716 \h </w:instrText>
        </w:r>
        <w:r>
          <w:rPr>
            <w:noProof/>
            <w:webHidden/>
          </w:rPr>
        </w:r>
        <w:r>
          <w:rPr>
            <w:noProof/>
            <w:webHidden/>
          </w:rPr>
          <w:fldChar w:fldCharType="separate"/>
        </w:r>
        <w:r>
          <w:rPr>
            <w:noProof/>
            <w:webHidden/>
          </w:rPr>
          <w:t>86</w:t>
        </w:r>
        <w:r>
          <w:rPr>
            <w:noProof/>
            <w:webHidden/>
          </w:rPr>
          <w:fldChar w:fldCharType="end"/>
        </w:r>
      </w:hyperlink>
    </w:p>
    <w:p w14:paraId="37CAE8E1" w14:textId="20AE1C30" w:rsidR="006D5705" w:rsidRDefault="006D5705">
      <w:pPr>
        <w:pStyle w:val="TOC4"/>
        <w:rPr>
          <w:rFonts w:eastAsiaTheme="minorEastAsia"/>
          <w:smallCaps w:val="0"/>
          <w:noProof/>
          <w:kern w:val="2"/>
          <w:sz w:val="24"/>
          <w:szCs w:val="24"/>
          <w:lang w:val="en-US" w:eastAsia="en-US" w:bidi="ar-SA"/>
          <w14:ligatures w14:val="standardContextual"/>
        </w:rPr>
      </w:pPr>
      <w:hyperlink w:anchor="_Toc182409717" w:history="1">
        <w:r w:rsidRPr="00BA2351">
          <w:rPr>
            <w:rStyle w:val="Hyperlink"/>
            <w:noProof/>
          </w:rPr>
          <w:t>Azure Site Recovery</w:t>
        </w:r>
        <w:r>
          <w:rPr>
            <w:noProof/>
            <w:webHidden/>
          </w:rPr>
          <w:tab/>
        </w:r>
        <w:r>
          <w:rPr>
            <w:noProof/>
            <w:webHidden/>
          </w:rPr>
          <w:fldChar w:fldCharType="begin"/>
        </w:r>
        <w:r>
          <w:rPr>
            <w:noProof/>
            <w:webHidden/>
          </w:rPr>
          <w:instrText xml:space="preserve"> PAGEREF _Toc182409717 \h </w:instrText>
        </w:r>
        <w:r>
          <w:rPr>
            <w:noProof/>
            <w:webHidden/>
          </w:rPr>
        </w:r>
        <w:r>
          <w:rPr>
            <w:noProof/>
            <w:webHidden/>
          </w:rPr>
          <w:fldChar w:fldCharType="separate"/>
        </w:r>
        <w:r>
          <w:rPr>
            <w:noProof/>
            <w:webHidden/>
          </w:rPr>
          <w:t>87</w:t>
        </w:r>
        <w:r>
          <w:rPr>
            <w:noProof/>
            <w:webHidden/>
          </w:rPr>
          <w:fldChar w:fldCharType="end"/>
        </w:r>
      </w:hyperlink>
    </w:p>
    <w:p w14:paraId="7E54E3C4" w14:textId="2EEB9B3B" w:rsidR="006D5705" w:rsidRDefault="006D5705">
      <w:pPr>
        <w:pStyle w:val="TOC4"/>
        <w:rPr>
          <w:rFonts w:eastAsiaTheme="minorEastAsia"/>
          <w:smallCaps w:val="0"/>
          <w:noProof/>
          <w:kern w:val="2"/>
          <w:sz w:val="24"/>
          <w:szCs w:val="24"/>
          <w:lang w:val="en-US" w:eastAsia="en-US" w:bidi="ar-SA"/>
          <w14:ligatures w14:val="standardContextual"/>
        </w:rPr>
      </w:pPr>
      <w:hyperlink w:anchor="_Toc182409718" w:history="1">
        <w:r w:rsidRPr="00BA2351">
          <w:rPr>
            <w:rStyle w:val="Hyperlink"/>
            <w:noProof/>
          </w:rPr>
          <w:t>Spatial Anchors</w:t>
        </w:r>
        <w:r>
          <w:rPr>
            <w:noProof/>
            <w:webHidden/>
          </w:rPr>
          <w:tab/>
        </w:r>
        <w:r>
          <w:rPr>
            <w:noProof/>
            <w:webHidden/>
          </w:rPr>
          <w:fldChar w:fldCharType="begin"/>
        </w:r>
        <w:r>
          <w:rPr>
            <w:noProof/>
            <w:webHidden/>
          </w:rPr>
          <w:instrText xml:space="preserve"> PAGEREF _Toc182409718 \h </w:instrText>
        </w:r>
        <w:r>
          <w:rPr>
            <w:noProof/>
            <w:webHidden/>
          </w:rPr>
        </w:r>
        <w:r>
          <w:rPr>
            <w:noProof/>
            <w:webHidden/>
          </w:rPr>
          <w:fldChar w:fldCharType="separate"/>
        </w:r>
        <w:r>
          <w:rPr>
            <w:noProof/>
            <w:webHidden/>
          </w:rPr>
          <w:t>88</w:t>
        </w:r>
        <w:r>
          <w:rPr>
            <w:noProof/>
            <w:webHidden/>
          </w:rPr>
          <w:fldChar w:fldCharType="end"/>
        </w:r>
      </w:hyperlink>
    </w:p>
    <w:p w14:paraId="19B2C2DA" w14:textId="17810DCD" w:rsidR="006D5705" w:rsidRDefault="006D5705">
      <w:pPr>
        <w:pStyle w:val="TOC4"/>
        <w:rPr>
          <w:rFonts w:eastAsiaTheme="minorEastAsia"/>
          <w:smallCaps w:val="0"/>
          <w:noProof/>
          <w:kern w:val="2"/>
          <w:sz w:val="24"/>
          <w:szCs w:val="24"/>
          <w:lang w:val="en-US" w:eastAsia="en-US" w:bidi="ar-SA"/>
          <w14:ligatures w14:val="standardContextual"/>
        </w:rPr>
      </w:pPr>
      <w:hyperlink w:anchor="_Toc182409719" w:history="1">
        <w:r w:rsidRPr="00BA2351">
          <w:rPr>
            <w:rStyle w:val="Hyperlink"/>
            <w:noProof/>
          </w:rPr>
          <w:t>Azure Spring Apps</w:t>
        </w:r>
        <w:r>
          <w:rPr>
            <w:noProof/>
            <w:webHidden/>
          </w:rPr>
          <w:tab/>
        </w:r>
        <w:r>
          <w:rPr>
            <w:noProof/>
            <w:webHidden/>
          </w:rPr>
          <w:fldChar w:fldCharType="begin"/>
        </w:r>
        <w:r>
          <w:rPr>
            <w:noProof/>
            <w:webHidden/>
          </w:rPr>
          <w:instrText xml:space="preserve"> PAGEREF _Toc182409719 \h </w:instrText>
        </w:r>
        <w:r>
          <w:rPr>
            <w:noProof/>
            <w:webHidden/>
          </w:rPr>
        </w:r>
        <w:r>
          <w:rPr>
            <w:noProof/>
            <w:webHidden/>
          </w:rPr>
          <w:fldChar w:fldCharType="separate"/>
        </w:r>
        <w:r>
          <w:rPr>
            <w:noProof/>
            <w:webHidden/>
          </w:rPr>
          <w:t>88</w:t>
        </w:r>
        <w:r>
          <w:rPr>
            <w:noProof/>
            <w:webHidden/>
          </w:rPr>
          <w:fldChar w:fldCharType="end"/>
        </w:r>
      </w:hyperlink>
    </w:p>
    <w:p w14:paraId="79E9E75B" w14:textId="61D47578" w:rsidR="006D5705" w:rsidRDefault="006D5705">
      <w:pPr>
        <w:pStyle w:val="TOC4"/>
        <w:rPr>
          <w:rFonts w:eastAsiaTheme="minorEastAsia"/>
          <w:smallCaps w:val="0"/>
          <w:noProof/>
          <w:kern w:val="2"/>
          <w:sz w:val="24"/>
          <w:szCs w:val="24"/>
          <w:lang w:val="en-US" w:eastAsia="en-US" w:bidi="ar-SA"/>
          <w14:ligatures w14:val="standardContextual"/>
        </w:rPr>
      </w:pPr>
      <w:hyperlink w:anchor="_Toc182409720" w:history="1">
        <w:r w:rsidRPr="00BA2351">
          <w:rPr>
            <w:rStyle w:val="Hyperlink"/>
            <w:noProof/>
          </w:rPr>
          <w:t>Base de Dados SQL do Azure</w:t>
        </w:r>
        <w:r>
          <w:rPr>
            <w:noProof/>
            <w:webHidden/>
          </w:rPr>
          <w:tab/>
        </w:r>
        <w:r>
          <w:rPr>
            <w:noProof/>
            <w:webHidden/>
          </w:rPr>
          <w:fldChar w:fldCharType="begin"/>
        </w:r>
        <w:r>
          <w:rPr>
            <w:noProof/>
            <w:webHidden/>
          </w:rPr>
          <w:instrText xml:space="preserve"> PAGEREF _Toc182409720 \h </w:instrText>
        </w:r>
        <w:r>
          <w:rPr>
            <w:noProof/>
            <w:webHidden/>
          </w:rPr>
        </w:r>
        <w:r>
          <w:rPr>
            <w:noProof/>
            <w:webHidden/>
          </w:rPr>
          <w:fldChar w:fldCharType="separate"/>
        </w:r>
        <w:r>
          <w:rPr>
            <w:noProof/>
            <w:webHidden/>
          </w:rPr>
          <w:t>89</w:t>
        </w:r>
        <w:r>
          <w:rPr>
            <w:noProof/>
            <w:webHidden/>
          </w:rPr>
          <w:fldChar w:fldCharType="end"/>
        </w:r>
      </w:hyperlink>
    </w:p>
    <w:p w14:paraId="1D5D76D0" w14:textId="30AFF1F7" w:rsidR="006D5705" w:rsidRDefault="006D5705">
      <w:pPr>
        <w:pStyle w:val="TOC4"/>
        <w:rPr>
          <w:rFonts w:eastAsiaTheme="minorEastAsia"/>
          <w:smallCaps w:val="0"/>
          <w:noProof/>
          <w:kern w:val="2"/>
          <w:sz w:val="24"/>
          <w:szCs w:val="24"/>
          <w:lang w:val="en-US" w:eastAsia="en-US" w:bidi="ar-SA"/>
          <w14:ligatures w14:val="standardContextual"/>
        </w:rPr>
      </w:pPr>
      <w:hyperlink w:anchor="_Toc182409721" w:history="1">
        <w:r w:rsidRPr="00BA2351">
          <w:rPr>
            <w:rStyle w:val="Hyperlink"/>
            <w:noProof/>
          </w:rPr>
          <w:t>Azure SQL Managed Instance</w:t>
        </w:r>
        <w:r>
          <w:rPr>
            <w:noProof/>
            <w:webHidden/>
          </w:rPr>
          <w:tab/>
        </w:r>
        <w:r>
          <w:rPr>
            <w:noProof/>
            <w:webHidden/>
          </w:rPr>
          <w:fldChar w:fldCharType="begin"/>
        </w:r>
        <w:r>
          <w:rPr>
            <w:noProof/>
            <w:webHidden/>
          </w:rPr>
          <w:instrText xml:space="preserve"> PAGEREF _Toc182409721 \h </w:instrText>
        </w:r>
        <w:r>
          <w:rPr>
            <w:noProof/>
            <w:webHidden/>
          </w:rPr>
        </w:r>
        <w:r>
          <w:rPr>
            <w:noProof/>
            <w:webHidden/>
          </w:rPr>
          <w:fldChar w:fldCharType="separate"/>
        </w:r>
        <w:r>
          <w:rPr>
            <w:noProof/>
            <w:webHidden/>
          </w:rPr>
          <w:t>91</w:t>
        </w:r>
        <w:r>
          <w:rPr>
            <w:noProof/>
            <w:webHidden/>
          </w:rPr>
          <w:fldChar w:fldCharType="end"/>
        </w:r>
      </w:hyperlink>
    </w:p>
    <w:p w14:paraId="25A3BAA4" w14:textId="2D5C390A" w:rsidR="006D5705" w:rsidRDefault="006D5705">
      <w:pPr>
        <w:pStyle w:val="TOC4"/>
        <w:rPr>
          <w:rFonts w:eastAsiaTheme="minorEastAsia"/>
          <w:smallCaps w:val="0"/>
          <w:noProof/>
          <w:kern w:val="2"/>
          <w:sz w:val="24"/>
          <w:szCs w:val="24"/>
          <w:lang w:val="en-US" w:eastAsia="en-US" w:bidi="ar-SA"/>
          <w14:ligatures w14:val="standardContextual"/>
        </w:rPr>
      </w:pPr>
      <w:hyperlink w:anchor="_Toc182409722" w:history="1">
        <w:r w:rsidRPr="00BA2351">
          <w:rPr>
            <w:rStyle w:val="Hyperlink"/>
            <w:noProof/>
          </w:rPr>
          <w:t>SQL Server Stretch Database</w:t>
        </w:r>
        <w:r>
          <w:rPr>
            <w:noProof/>
            <w:webHidden/>
          </w:rPr>
          <w:tab/>
        </w:r>
        <w:r>
          <w:rPr>
            <w:noProof/>
            <w:webHidden/>
          </w:rPr>
          <w:fldChar w:fldCharType="begin"/>
        </w:r>
        <w:r>
          <w:rPr>
            <w:noProof/>
            <w:webHidden/>
          </w:rPr>
          <w:instrText xml:space="preserve"> PAGEREF _Toc182409722 \h </w:instrText>
        </w:r>
        <w:r>
          <w:rPr>
            <w:noProof/>
            <w:webHidden/>
          </w:rPr>
        </w:r>
        <w:r>
          <w:rPr>
            <w:noProof/>
            <w:webHidden/>
          </w:rPr>
          <w:fldChar w:fldCharType="separate"/>
        </w:r>
        <w:r>
          <w:rPr>
            <w:noProof/>
            <w:webHidden/>
          </w:rPr>
          <w:t>92</w:t>
        </w:r>
        <w:r>
          <w:rPr>
            <w:noProof/>
            <w:webHidden/>
          </w:rPr>
          <w:fldChar w:fldCharType="end"/>
        </w:r>
      </w:hyperlink>
    </w:p>
    <w:p w14:paraId="153BFE72" w14:textId="48E02D7A" w:rsidR="006D5705" w:rsidRDefault="006D5705">
      <w:pPr>
        <w:pStyle w:val="TOC4"/>
        <w:rPr>
          <w:rFonts w:eastAsiaTheme="minorEastAsia"/>
          <w:smallCaps w:val="0"/>
          <w:noProof/>
          <w:kern w:val="2"/>
          <w:sz w:val="24"/>
          <w:szCs w:val="24"/>
          <w:lang w:val="en-US" w:eastAsia="en-US" w:bidi="ar-SA"/>
          <w14:ligatures w14:val="standardContextual"/>
        </w:rPr>
      </w:pPr>
      <w:hyperlink w:anchor="_Toc182409723" w:history="1">
        <w:r w:rsidRPr="00BA2351">
          <w:rPr>
            <w:rStyle w:val="Hyperlink"/>
            <w:noProof/>
          </w:rPr>
          <w:t>Aplicações Web Estáticas</w:t>
        </w:r>
        <w:r>
          <w:rPr>
            <w:noProof/>
            <w:webHidden/>
          </w:rPr>
          <w:tab/>
        </w:r>
        <w:r>
          <w:rPr>
            <w:noProof/>
            <w:webHidden/>
          </w:rPr>
          <w:fldChar w:fldCharType="begin"/>
        </w:r>
        <w:r>
          <w:rPr>
            <w:noProof/>
            <w:webHidden/>
          </w:rPr>
          <w:instrText xml:space="preserve"> PAGEREF _Toc182409723 \h </w:instrText>
        </w:r>
        <w:r>
          <w:rPr>
            <w:noProof/>
            <w:webHidden/>
          </w:rPr>
        </w:r>
        <w:r>
          <w:rPr>
            <w:noProof/>
            <w:webHidden/>
          </w:rPr>
          <w:fldChar w:fldCharType="separate"/>
        </w:r>
        <w:r>
          <w:rPr>
            <w:noProof/>
            <w:webHidden/>
          </w:rPr>
          <w:t>92</w:t>
        </w:r>
        <w:r>
          <w:rPr>
            <w:noProof/>
            <w:webHidden/>
          </w:rPr>
          <w:fldChar w:fldCharType="end"/>
        </w:r>
      </w:hyperlink>
    </w:p>
    <w:p w14:paraId="399D1F3A" w14:textId="54086913" w:rsidR="006D5705" w:rsidRDefault="006D5705">
      <w:pPr>
        <w:pStyle w:val="TOC4"/>
        <w:rPr>
          <w:rFonts w:eastAsiaTheme="minorEastAsia"/>
          <w:smallCaps w:val="0"/>
          <w:noProof/>
          <w:kern w:val="2"/>
          <w:sz w:val="24"/>
          <w:szCs w:val="24"/>
          <w:lang w:val="en-US" w:eastAsia="en-US" w:bidi="ar-SA"/>
          <w14:ligatures w14:val="standardContextual"/>
        </w:rPr>
      </w:pPr>
      <w:hyperlink w:anchor="_Toc182409724" w:history="1">
        <w:r w:rsidRPr="00BA2351">
          <w:rPr>
            <w:rStyle w:val="Hyperlink"/>
            <w:noProof/>
          </w:rPr>
          <w:t>Contas de Armazenamento</w:t>
        </w:r>
        <w:r>
          <w:rPr>
            <w:noProof/>
            <w:webHidden/>
          </w:rPr>
          <w:tab/>
        </w:r>
        <w:r>
          <w:rPr>
            <w:noProof/>
            <w:webHidden/>
          </w:rPr>
          <w:fldChar w:fldCharType="begin"/>
        </w:r>
        <w:r>
          <w:rPr>
            <w:noProof/>
            <w:webHidden/>
          </w:rPr>
          <w:instrText xml:space="preserve"> PAGEREF _Toc182409724 \h </w:instrText>
        </w:r>
        <w:r>
          <w:rPr>
            <w:noProof/>
            <w:webHidden/>
          </w:rPr>
        </w:r>
        <w:r>
          <w:rPr>
            <w:noProof/>
            <w:webHidden/>
          </w:rPr>
          <w:fldChar w:fldCharType="separate"/>
        </w:r>
        <w:r>
          <w:rPr>
            <w:noProof/>
            <w:webHidden/>
          </w:rPr>
          <w:t>92</w:t>
        </w:r>
        <w:r>
          <w:rPr>
            <w:noProof/>
            <w:webHidden/>
          </w:rPr>
          <w:fldChar w:fldCharType="end"/>
        </w:r>
      </w:hyperlink>
    </w:p>
    <w:p w14:paraId="5BC3B64E" w14:textId="00D9FE04" w:rsidR="006D5705" w:rsidRDefault="006D5705">
      <w:pPr>
        <w:pStyle w:val="TOC4"/>
        <w:rPr>
          <w:rFonts w:eastAsiaTheme="minorEastAsia"/>
          <w:smallCaps w:val="0"/>
          <w:noProof/>
          <w:kern w:val="2"/>
          <w:sz w:val="24"/>
          <w:szCs w:val="24"/>
          <w:lang w:val="en-US" w:eastAsia="en-US" w:bidi="ar-SA"/>
          <w14:ligatures w14:val="standardContextual"/>
        </w:rPr>
      </w:pPr>
      <w:hyperlink w:anchor="_Toc182409725" w:history="1">
        <w:r w:rsidRPr="00BA2351">
          <w:rPr>
            <w:rStyle w:val="Hyperlink"/>
            <w:noProof/>
          </w:rPr>
          <w:t>StorSimple</w:t>
        </w:r>
        <w:r>
          <w:rPr>
            <w:noProof/>
            <w:webHidden/>
          </w:rPr>
          <w:tab/>
        </w:r>
        <w:r>
          <w:rPr>
            <w:noProof/>
            <w:webHidden/>
          </w:rPr>
          <w:fldChar w:fldCharType="begin"/>
        </w:r>
        <w:r>
          <w:rPr>
            <w:noProof/>
            <w:webHidden/>
          </w:rPr>
          <w:instrText xml:space="preserve"> PAGEREF _Toc182409725 \h </w:instrText>
        </w:r>
        <w:r>
          <w:rPr>
            <w:noProof/>
            <w:webHidden/>
          </w:rPr>
        </w:r>
        <w:r>
          <w:rPr>
            <w:noProof/>
            <w:webHidden/>
          </w:rPr>
          <w:fldChar w:fldCharType="separate"/>
        </w:r>
        <w:r>
          <w:rPr>
            <w:noProof/>
            <w:webHidden/>
          </w:rPr>
          <w:t>94</w:t>
        </w:r>
        <w:r>
          <w:rPr>
            <w:noProof/>
            <w:webHidden/>
          </w:rPr>
          <w:fldChar w:fldCharType="end"/>
        </w:r>
      </w:hyperlink>
    </w:p>
    <w:p w14:paraId="7E35BE0D" w14:textId="54C6A8EB" w:rsidR="006D5705" w:rsidRDefault="006D5705">
      <w:pPr>
        <w:pStyle w:val="TOC4"/>
        <w:rPr>
          <w:rFonts w:eastAsiaTheme="minorEastAsia"/>
          <w:smallCaps w:val="0"/>
          <w:noProof/>
          <w:kern w:val="2"/>
          <w:sz w:val="24"/>
          <w:szCs w:val="24"/>
          <w:lang w:val="en-US" w:eastAsia="en-US" w:bidi="ar-SA"/>
          <w14:ligatures w14:val="standardContextual"/>
        </w:rPr>
      </w:pPr>
      <w:hyperlink w:anchor="_Toc182409726" w:history="1">
        <w:r w:rsidRPr="00BA2351">
          <w:rPr>
            <w:rStyle w:val="Hyperlink"/>
            <w:noProof/>
          </w:rPr>
          <w:t>Azure Stream Analytics</w:t>
        </w:r>
        <w:r>
          <w:rPr>
            <w:noProof/>
            <w:webHidden/>
          </w:rPr>
          <w:tab/>
        </w:r>
        <w:r>
          <w:rPr>
            <w:noProof/>
            <w:webHidden/>
          </w:rPr>
          <w:fldChar w:fldCharType="begin"/>
        </w:r>
        <w:r>
          <w:rPr>
            <w:noProof/>
            <w:webHidden/>
          </w:rPr>
          <w:instrText xml:space="preserve"> PAGEREF _Toc182409726 \h </w:instrText>
        </w:r>
        <w:r>
          <w:rPr>
            <w:noProof/>
            <w:webHidden/>
          </w:rPr>
        </w:r>
        <w:r>
          <w:rPr>
            <w:noProof/>
            <w:webHidden/>
          </w:rPr>
          <w:fldChar w:fldCharType="separate"/>
        </w:r>
        <w:r>
          <w:rPr>
            <w:noProof/>
            <w:webHidden/>
          </w:rPr>
          <w:t>95</w:t>
        </w:r>
        <w:r>
          <w:rPr>
            <w:noProof/>
            <w:webHidden/>
          </w:rPr>
          <w:fldChar w:fldCharType="end"/>
        </w:r>
      </w:hyperlink>
    </w:p>
    <w:p w14:paraId="6EC8F241" w14:textId="367E5B85" w:rsidR="006D5705" w:rsidRDefault="006D5705">
      <w:pPr>
        <w:pStyle w:val="TOC4"/>
        <w:rPr>
          <w:rFonts w:eastAsiaTheme="minorEastAsia"/>
          <w:smallCaps w:val="0"/>
          <w:noProof/>
          <w:kern w:val="2"/>
          <w:sz w:val="24"/>
          <w:szCs w:val="24"/>
          <w:lang w:val="en-US" w:eastAsia="en-US" w:bidi="ar-SA"/>
          <w14:ligatures w14:val="standardContextual"/>
        </w:rPr>
      </w:pPr>
      <w:hyperlink w:anchor="_Toc182409727" w:history="1">
        <w:r w:rsidRPr="00BA2351">
          <w:rPr>
            <w:rStyle w:val="Hyperlink"/>
            <w:noProof/>
          </w:rPr>
          <w:t>Azure Synapse Analytics</w:t>
        </w:r>
        <w:r>
          <w:rPr>
            <w:noProof/>
            <w:webHidden/>
          </w:rPr>
          <w:tab/>
        </w:r>
        <w:r>
          <w:rPr>
            <w:noProof/>
            <w:webHidden/>
          </w:rPr>
          <w:fldChar w:fldCharType="begin"/>
        </w:r>
        <w:r>
          <w:rPr>
            <w:noProof/>
            <w:webHidden/>
          </w:rPr>
          <w:instrText xml:space="preserve"> PAGEREF _Toc182409727 \h </w:instrText>
        </w:r>
        <w:r>
          <w:rPr>
            <w:noProof/>
            <w:webHidden/>
          </w:rPr>
        </w:r>
        <w:r>
          <w:rPr>
            <w:noProof/>
            <w:webHidden/>
          </w:rPr>
          <w:fldChar w:fldCharType="separate"/>
        </w:r>
        <w:r>
          <w:rPr>
            <w:noProof/>
            <w:webHidden/>
          </w:rPr>
          <w:t>96</w:t>
        </w:r>
        <w:r>
          <w:rPr>
            <w:noProof/>
            <w:webHidden/>
          </w:rPr>
          <w:fldChar w:fldCharType="end"/>
        </w:r>
      </w:hyperlink>
    </w:p>
    <w:p w14:paraId="2E02996E" w14:textId="22ED687D" w:rsidR="006D5705" w:rsidRDefault="006D5705">
      <w:pPr>
        <w:pStyle w:val="TOC4"/>
        <w:rPr>
          <w:rFonts w:eastAsiaTheme="minorEastAsia"/>
          <w:smallCaps w:val="0"/>
          <w:noProof/>
          <w:kern w:val="2"/>
          <w:sz w:val="24"/>
          <w:szCs w:val="24"/>
          <w:lang w:val="en-US" w:eastAsia="en-US" w:bidi="ar-SA"/>
          <w14:ligatures w14:val="standardContextual"/>
        </w:rPr>
      </w:pPr>
      <w:hyperlink w:anchor="_Toc182409728" w:history="1">
        <w:r w:rsidRPr="00BA2351">
          <w:rPr>
            <w:rStyle w:val="Hyperlink"/>
            <w:noProof/>
          </w:rPr>
          <w:t>Azure Time Series Insights</w:t>
        </w:r>
        <w:r>
          <w:rPr>
            <w:noProof/>
            <w:webHidden/>
          </w:rPr>
          <w:tab/>
        </w:r>
        <w:r>
          <w:rPr>
            <w:noProof/>
            <w:webHidden/>
          </w:rPr>
          <w:fldChar w:fldCharType="begin"/>
        </w:r>
        <w:r>
          <w:rPr>
            <w:noProof/>
            <w:webHidden/>
          </w:rPr>
          <w:instrText xml:space="preserve"> PAGEREF _Toc182409728 \h </w:instrText>
        </w:r>
        <w:r>
          <w:rPr>
            <w:noProof/>
            <w:webHidden/>
          </w:rPr>
        </w:r>
        <w:r>
          <w:rPr>
            <w:noProof/>
            <w:webHidden/>
          </w:rPr>
          <w:fldChar w:fldCharType="separate"/>
        </w:r>
        <w:r>
          <w:rPr>
            <w:noProof/>
            <w:webHidden/>
          </w:rPr>
          <w:t>97</w:t>
        </w:r>
        <w:r>
          <w:rPr>
            <w:noProof/>
            <w:webHidden/>
          </w:rPr>
          <w:fldChar w:fldCharType="end"/>
        </w:r>
      </w:hyperlink>
    </w:p>
    <w:p w14:paraId="34C4E781" w14:textId="1AE61918" w:rsidR="006D5705" w:rsidRDefault="006D5705">
      <w:pPr>
        <w:pStyle w:val="TOC4"/>
        <w:rPr>
          <w:rFonts w:eastAsiaTheme="minorEastAsia"/>
          <w:smallCaps w:val="0"/>
          <w:noProof/>
          <w:kern w:val="2"/>
          <w:sz w:val="24"/>
          <w:szCs w:val="24"/>
          <w:lang w:val="en-US" w:eastAsia="en-US" w:bidi="ar-SA"/>
          <w14:ligatures w14:val="standardContextual"/>
        </w:rPr>
      </w:pPr>
      <w:hyperlink w:anchor="_Toc182409729" w:history="1">
        <w:r w:rsidRPr="00BA2351">
          <w:rPr>
            <w:rStyle w:val="Hyperlink"/>
            <w:noProof/>
          </w:rPr>
          <w:t>Serviço de Gestor de Tráfego</w:t>
        </w:r>
        <w:r>
          <w:rPr>
            <w:noProof/>
            <w:webHidden/>
          </w:rPr>
          <w:tab/>
        </w:r>
        <w:r>
          <w:rPr>
            <w:noProof/>
            <w:webHidden/>
          </w:rPr>
          <w:fldChar w:fldCharType="begin"/>
        </w:r>
        <w:r>
          <w:rPr>
            <w:noProof/>
            <w:webHidden/>
          </w:rPr>
          <w:instrText xml:space="preserve"> PAGEREF _Toc182409729 \h </w:instrText>
        </w:r>
        <w:r>
          <w:rPr>
            <w:noProof/>
            <w:webHidden/>
          </w:rPr>
        </w:r>
        <w:r>
          <w:rPr>
            <w:noProof/>
            <w:webHidden/>
          </w:rPr>
          <w:fldChar w:fldCharType="separate"/>
        </w:r>
        <w:r>
          <w:rPr>
            <w:noProof/>
            <w:webHidden/>
          </w:rPr>
          <w:t>97</w:t>
        </w:r>
        <w:r>
          <w:rPr>
            <w:noProof/>
            <w:webHidden/>
          </w:rPr>
          <w:fldChar w:fldCharType="end"/>
        </w:r>
      </w:hyperlink>
    </w:p>
    <w:p w14:paraId="00F211D7" w14:textId="6FE844D1" w:rsidR="006D5705" w:rsidRDefault="006D5705">
      <w:pPr>
        <w:pStyle w:val="TOC4"/>
        <w:rPr>
          <w:rFonts w:eastAsiaTheme="minorEastAsia"/>
          <w:smallCaps w:val="0"/>
          <w:noProof/>
          <w:kern w:val="2"/>
          <w:sz w:val="24"/>
          <w:szCs w:val="24"/>
          <w:lang w:val="en-US" w:eastAsia="en-US" w:bidi="ar-SA"/>
          <w14:ligatures w14:val="standardContextual"/>
        </w:rPr>
      </w:pPr>
      <w:hyperlink w:anchor="_Toc182409730" w:history="1">
        <w:r w:rsidRPr="00BA2351">
          <w:rPr>
            <w:rStyle w:val="Hyperlink"/>
            <w:noProof/>
          </w:rPr>
          <w:t>Máquinas Virtuais</w:t>
        </w:r>
        <w:r>
          <w:rPr>
            <w:noProof/>
            <w:webHidden/>
          </w:rPr>
          <w:tab/>
        </w:r>
        <w:r>
          <w:rPr>
            <w:noProof/>
            <w:webHidden/>
          </w:rPr>
          <w:fldChar w:fldCharType="begin"/>
        </w:r>
        <w:r>
          <w:rPr>
            <w:noProof/>
            <w:webHidden/>
          </w:rPr>
          <w:instrText xml:space="preserve"> PAGEREF _Toc182409730 \h </w:instrText>
        </w:r>
        <w:r>
          <w:rPr>
            <w:noProof/>
            <w:webHidden/>
          </w:rPr>
        </w:r>
        <w:r>
          <w:rPr>
            <w:noProof/>
            <w:webHidden/>
          </w:rPr>
          <w:fldChar w:fldCharType="separate"/>
        </w:r>
        <w:r>
          <w:rPr>
            <w:noProof/>
            <w:webHidden/>
          </w:rPr>
          <w:t>98</w:t>
        </w:r>
        <w:r>
          <w:rPr>
            <w:noProof/>
            <w:webHidden/>
          </w:rPr>
          <w:fldChar w:fldCharType="end"/>
        </w:r>
      </w:hyperlink>
    </w:p>
    <w:p w14:paraId="61A30DA4" w14:textId="3E20BD3E" w:rsidR="006D5705" w:rsidRDefault="006D5705">
      <w:pPr>
        <w:pStyle w:val="TOC4"/>
        <w:rPr>
          <w:rFonts w:eastAsiaTheme="minorEastAsia"/>
          <w:smallCaps w:val="0"/>
          <w:noProof/>
          <w:kern w:val="2"/>
          <w:sz w:val="24"/>
          <w:szCs w:val="24"/>
          <w:lang w:val="en-US" w:eastAsia="en-US" w:bidi="ar-SA"/>
          <w14:ligatures w14:val="standardContextual"/>
        </w:rPr>
      </w:pPr>
      <w:hyperlink w:anchor="_Toc182409731" w:history="1">
        <w:r w:rsidRPr="00BA2351">
          <w:rPr>
            <w:rStyle w:val="Hyperlink"/>
            <w:noProof/>
          </w:rPr>
          <w:t>Azure Virtual Network Manager</w:t>
        </w:r>
        <w:r>
          <w:rPr>
            <w:noProof/>
            <w:webHidden/>
          </w:rPr>
          <w:tab/>
        </w:r>
        <w:r>
          <w:rPr>
            <w:noProof/>
            <w:webHidden/>
          </w:rPr>
          <w:fldChar w:fldCharType="begin"/>
        </w:r>
        <w:r>
          <w:rPr>
            <w:noProof/>
            <w:webHidden/>
          </w:rPr>
          <w:instrText xml:space="preserve"> PAGEREF _Toc182409731 \h </w:instrText>
        </w:r>
        <w:r>
          <w:rPr>
            <w:noProof/>
            <w:webHidden/>
          </w:rPr>
        </w:r>
        <w:r>
          <w:rPr>
            <w:noProof/>
            <w:webHidden/>
          </w:rPr>
          <w:fldChar w:fldCharType="separate"/>
        </w:r>
        <w:r>
          <w:rPr>
            <w:noProof/>
            <w:webHidden/>
          </w:rPr>
          <w:t>99</w:t>
        </w:r>
        <w:r>
          <w:rPr>
            <w:noProof/>
            <w:webHidden/>
          </w:rPr>
          <w:fldChar w:fldCharType="end"/>
        </w:r>
      </w:hyperlink>
    </w:p>
    <w:p w14:paraId="474F30AF" w14:textId="5D0BF635" w:rsidR="006D5705" w:rsidRDefault="006D5705">
      <w:pPr>
        <w:pStyle w:val="TOC4"/>
        <w:rPr>
          <w:rFonts w:eastAsiaTheme="minorEastAsia"/>
          <w:smallCaps w:val="0"/>
          <w:noProof/>
          <w:kern w:val="2"/>
          <w:sz w:val="24"/>
          <w:szCs w:val="24"/>
          <w:lang w:val="en-US" w:eastAsia="en-US" w:bidi="ar-SA"/>
          <w14:ligatures w14:val="standardContextual"/>
        </w:rPr>
      </w:pPr>
      <w:hyperlink w:anchor="_Toc182409732" w:history="1">
        <w:r w:rsidRPr="00BA2351">
          <w:rPr>
            <w:rStyle w:val="Hyperlink"/>
            <w:noProof/>
          </w:rPr>
          <w:t>WAN Virtual do Azure</w:t>
        </w:r>
        <w:r>
          <w:rPr>
            <w:noProof/>
            <w:webHidden/>
          </w:rPr>
          <w:tab/>
        </w:r>
        <w:r>
          <w:rPr>
            <w:noProof/>
            <w:webHidden/>
          </w:rPr>
          <w:fldChar w:fldCharType="begin"/>
        </w:r>
        <w:r>
          <w:rPr>
            <w:noProof/>
            <w:webHidden/>
          </w:rPr>
          <w:instrText xml:space="preserve"> PAGEREF _Toc182409732 \h </w:instrText>
        </w:r>
        <w:r>
          <w:rPr>
            <w:noProof/>
            <w:webHidden/>
          </w:rPr>
        </w:r>
        <w:r>
          <w:rPr>
            <w:noProof/>
            <w:webHidden/>
          </w:rPr>
          <w:fldChar w:fldCharType="separate"/>
        </w:r>
        <w:r>
          <w:rPr>
            <w:noProof/>
            <w:webHidden/>
          </w:rPr>
          <w:t>100</w:t>
        </w:r>
        <w:r>
          <w:rPr>
            <w:noProof/>
            <w:webHidden/>
          </w:rPr>
          <w:fldChar w:fldCharType="end"/>
        </w:r>
      </w:hyperlink>
    </w:p>
    <w:p w14:paraId="440B824A" w14:textId="184DF73D" w:rsidR="006D5705" w:rsidRDefault="006D5705">
      <w:pPr>
        <w:pStyle w:val="TOC4"/>
        <w:rPr>
          <w:rFonts w:eastAsiaTheme="minorEastAsia"/>
          <w:smallCaps w:val="0"/>
          <w:noProof/>
          <w:kern w:val="2"/>
          <w:sz w:val="24"/>
          <w:szCs w:val="24"/>
          <w:lang w:val="en-US" w:eastAsia="en-US" w:bidi="ar-SA"/>
          <w14:ligatures w14:val="standardContextual"/>
        </w:rPr>
      </w:pPr>
      <w:hyperlink w:anchor="_Toc182409733" w:history="1">
        <w:r w:rsidRPr="00BA2351">
          <w:rPr>
            <w:rStyle w:val="Hyperlink"/>
            <w:noProof/>
          </w:rPr>
          <w:t>Azure VMware Solution</w:t>
        </w:r>
        <w:r>
          <w:rPr>
            <w:noProof/>
            <w:webHidden/>
          </w:rPr>
          <w:tab/>
        </w:r>
        <w:r>
          <w:rPr>
            <w:noProof/>
            <w:webHidden/>
          </w:rPr>
          <w:fldChar w:fldCharType="begin"/>
        </w:r>
        <w:r>
          <w:rPr>
            <w:noProof/>
            <w:webHidden/>
          </w:rPr>
          <w:instrText xml:space="preserve"> PAGEREF _Toc182409733 \h </w:instrText>
        </w:r>
        <w:r>
          <w:rPr>
            <w:noProof/>
            <w:webHidden/>
          </w:rPr>
        </w:r>
        <w:r>
          <w:rPr>
            <w:noProof/>
            <w:webHidden/>
          </w:rPr>
          <w:fldChar w:fldCharType="separate"/>
        </w:r>
        <w:r>
          <w:rPr>
            <w:noProof/>
            <w:webHidden/>
          </w:rPr>
          <w:t>100</w:t>
        </w:r>
        <w:r>
          <w:rPr>
            <w:noProof/>
            <w:webHidden/>
          </w:rPr>
          <w:fldChar w:fldCharType="end"/>
        </w:r>
      </w:hyperlink>
    </w:p>
    <w:p w14:paraId="08922D20" w14:textId="019AE530" w:rsidR="006D5705" w:rsidRDefault="006D5705">
      <w:pPr>
        <w:pStyle w:val="TOC4"/>
        <w:rPr>
          <w:rFonts w:eastAsiaTheme="minorEastAsia"/>
          <w:smallCaps w:val="0"/>
          <w:noProof/>
          <w:kern w:val="2"/>
          <w:sz w:val="24"/>
          <w:szCs w:val="24"/>
          <w:lang w:val="en-US" w:eastAsia="en-US" w:bidi="ar-SA"/>
          <w14:ligatures w14:val="standardContextual"/>
        </w:rPr>
      </w:pPr>
      <w:hyperlink w:anchor="_Toc182409734" w:history="1">
        <w:r w:rsidRPr="00BA2351">
          <w:rPr>
            <w:rStyle w:val="Hyperlink"/>
            <w:noProof/>
            <w:lang w:val="en-IN"/>
          </w:rPr>
          <w:t>Azure VMware Solution by CloudSimple</w:t>
        </w:r>
        <w:r>
          <w:rPr>
            <w:noProof/>
            <w:webHidden/>
          </w:rPr>
          <w:tab/>
        </w:r>
        <w:r>
          <w:rPr>
            <w:noProof/>
            <w:webHidden/>
          </w:rPr>
          <w:fldChar w:fldCharType="begin"/>
        </w:r>
        <w:r>
          <w:rPr>
            <w:noProof/>
            <w:webHidden/>
          </w:rPr>
          <w:instrText xml:space="preserve"> PAGEREF _Toc182409734 \h </w:instrText>
        </w:r>
        <w:r>
          <w:rPr>
            <w:noProof/>
            <w:webHidden/>
          </w:rPr>
        </w:r>
        <w:r>
          <w:rPr>
            <w:noProof/>
            <w:webHidden/>
          </w:rPr>
          <w:fldChar w:fldCharType="separate"/>
        </w:r>
        <w:r>
          <w:rPr>
            <w:noProof/>
            <w:webHidden/>
          </w:rPr>
          <w:t>101</w:t>
        </w:r>
        <w:r>
          <w:rPr>
            <w:noProof/>
            <w:webHidden/>
          </w:rPr>
          <w:fldChar w:fldCharType="end"/>
        </w:r>
      </w:hyperlink>
    </w:p>
    <w:p w14:paraId="6AD9C8BD" w14:textId="6D11AB09" w:rsidR="006D5705" w:rsidRDefault="006D5705">
      <w:pPr>
        <w:pStyle w:val="TOC4"/>
        <w:rPr>
          <w:rFonts w:eastAsiaTheme="minorEastAsia"/>
          <w:smallCaps w:val="0"/>
          <w:noProof/>
          <w:kern w:val="2"/>
          <w:sz w:val="24"/>
          <w:szCs w:val="24"/>
          <w:lang w:val="en-US" w:eastAsia="en-US" w:bidi="ar-SA"/>
          <w14:ligatures w14:val="standardContextual"/>
        </w:rPr>
      </w:pPr>
      <w:hyperlink w:anchor="_Toc182409735" w:history="1">
        <w:r w:rsidRPr="00BA2351">
          <w:rPr>
            <w:rStyle w:val="Hyperlink"/>
            <w:noProof/>
          </w:rPr>
          <w:t>Azure VNet NAT</w:t>
        </w:r>
        <w:r>
          <w:rPr>
            <w:noProof/>
            <w:webHidden/>
          </w:rPr>
          <w:tab/>
        </w:r>
        <w:r>
          <w:rPr>
            <w:noProof/>
            <w:webHidden/>
          </w:rPr>
          <w:fldChar w:fldCharType="begin"/>
        </w:r>
        <w:r>
          <w:rPr>
            <w:noProof/>
            <w:webHidden/>
          </w:rPr>
          <w:instrText xml:space="preserve"> PAGEREF _Toc182409735 \h </w:instrText>
        </w:r>
        <w:r>
          <w:rPr>
            <w:noProof/>
            <w:webHidden/>
          </w:rPr>
        </w:r>
        <w:r>
          <w:rPr>
            <w:noProof/>
            <w:webHidden/>
          </w:rPr>
          <w:fldChar w:fldCharType="separate"/>
        </w:r>
        <w:r>
          <w:rPr>
            <w:noProof/>
            <w:webHidden/>
          </w:rPr>
          <w:t>102</w:t>
        </w:r>
        <w:r>
          <w:rPr>
            <w:noProof/>
            <w:webHidden/>
          </w:rPr>
          <w:fldChar w:fldCharType="end"/>
        </w:r>
      </w:hyperlink>
    </w:p>
    <w:p w14:paraId="3FF6E9A1" w14:textId="4A22FA13" w:rsidR="006D5705" w:rsidRDefault="006D5705">
      <w:pPr>
        <w:pStyle w:val="TOC4"/>
        <w:rPr>
          <w:rFonts w:eastAsiaTheme="minorEastAsia"/>
          <w:smallCaps w:val="0"/>
          <w:noProof/>
          <w:kern w:val="2"/>
          <w:sz w:val="24"/>
          <w:szCs w:val="24"/>
          <w:lang w:val="en-US" w:eastAsia="en-US" w:bidi="ar-SA"/>
          <w14:ligatures w14:val="standardContextual"/>
        </w:rPr>
      </w:pPr>
      <w:hyperlink w:anchor="_Toc182409736" w:history="1">
        <w:r w:rsidRPr="00BA2351">
          <w:rPr>
            <w:rStyle w:val="Hyperlink"/>
            <w:noProof/>
          </w:rPr>
          <w:t>Gateway de Rede Virtual</w:t>
        </w:r>
        <w:r>
          <w:rPr>
            <w:noProof/>
            <w:webHidden/>
          </w:rPr>
          <w:tab/>
        </w:r>
        <w:r>
          <w:rPr>
            <w:noProof/>
            <w:webHidden/>
          </w:rPr>
          <w:fldChar w:fldCharType="begin"/>
        </w:r>
        <w:r>
          <w:rPr>
            <w:noProof/>
            <w:webHidden/>
          </w:rPr>
          <w:instrText xml:space="preserve"> PAGEREF _Toc182409736 \h </w:instrText>
        </w:r>
        <w:r>
          <w:rPr>
            <w:noProof/>
            <w:webHidden/>
          </w:rPr>
        </w:r>
        <w:r>
          <w:rPr>
            <w:noProof/>
            <w:webHidden/>
          </w:rPr>
          <w:fldChar w:fldCharType="separate"/>
        </w:r>
        <w:r>
          <w:rPr>
            <w:noProof/>
            <w:webHidden/>
          </w:rPr>
          <w:t>102</w:t>
        </w:r>
        <w:r>
          <w:rPr>
            <w:noProof/>
            <w:webHidden/>
          </w:rPr>
          <w:fldChar w:fldCharType="end"/>
        </w:r>
      </w:hyperlink>
    </w:p>
    <w:p w14:paraId="7E6D9FC6" w14:textId="05BB0508" w:rsidR="006D5705" w:rsidRDefault="006D5705">
      <w:pPr>
        <w:pStyle w:val="TOC4"/>
        <w:rPr>
          <w:rFonts w:eastAsiaTheme="minorEastAsia"/>
          <w:smallCaps w:val="0"/>
          <w:noProof/>
          <w:kern w:val="2"/>
          <w:sz w:val="24"/>
          <w:szCs w:val="24"/>
          <w:lang w:val="en-US" w:eastAsia="en-US" w:bidi="ar-SA"/>
          <w14:ligatures w14:val="standardContextual"/>
        </w:rPr>
      </w:pPr>
      <w:hyperlink w:anchor="_Toc182409737" w:history="1">
        <w:r w:rsidRPr="00BA2351">
          <w:rPr>
            <w:rStyle w:val="Hyperlink"/>
            <w:noProof/>
          </w:rPr>
          <w:t>Azure Web PubSub</w:t>
        </w:r>
        <w:r>
          <w:rPr>
            <w:noProof/>
            <w:webHidden/>
          </w:rPr>
          <w:tab/>
        </w:r>
        <w:r>
          <w:rPr>
            <w:noProof/>
            <w:webHidden/>
          </w:rPr>
          <w:fldChar w:fldCharType="begin"/>
        </w:r>
        <w:r>
          <w:rPr>
            <w:noProof/>
            <w:webHidden/>
          </w:rPr>
          <w:instrText xml:space="preserve"> PAGEREF _Toc182409737 \h </w:instrText>
        </w:r>
        <w:r>
          <w:rPr>
            <w:noProof/>
            <w:webHidden/>
          </w:rPr>
        </w:r>
        <w:r>
          <w:rPr>
            <w:noProof/>
            <w:webHidden/>
          </w:rPr>
          <w:fldChar w:fldCharType="separate"/>
        </w:r>
        <w:r>
          <w:rPr>
            <w:noProof/>
            <w:webHidden/>
          </w:rPr>
          <w:t>103</w:t>
        </w:r>
        <w:r>
          <w:rPr>
            <w:noProof/>
            <w:webHidden/>
          </w:rPr>
          <w:fldChar w:fldCharType="end"/>
        </w:r>
      </w:hyperlink>
    </w:p>
    <w:p w14:paraId="4E976A69" w14:textId="6D57DAB2" w:rsidR="006D5705" w:rsidRDefault="006D5705">
      <w:pPr>
        <w:pStyle w:val="TOC4"/>
        <w:rPr>
          <w:rFonts w:eastAsiaTheme="minorEastAsia"/>
          <w:smallCaps w:val="0"/>
          <w:noProof/>
          <w:kern w:val="2"/>
          <w:sz w:val="24"/>
          <w:szCs w:val="24"/>
          <w:lang w:val="en-US" w:eastAsia="en-US" w:bidi="ar-SA"/>
          <w14:ligatures w14:val="standardContextual"/>
        </w:rPr>
      </w:pPr>
      <w:hyperlink w:anchor="_Toc182409738" w:history="1">
        <w:r w:rsidRPr="00BA2351">
          <w:rPr>
            <w:rStyle w:val="Hyperlink"/>
            <w:noProof/>
          </w:rPr>
          <w:t>Windows 10 IoT Core Services</w:t>
        </w:r>
        <w:r>
          <w:rPr>
            <w:noProof/>
            <w:webHidden/>
          </w:rPr>
          <w:tab/>
        </w:r>
        <w:r>
          <w:rPr>
            <w:noProof/>
            <w:webHidden/>
          </w:rPr>
          <w:fldChar w:fldCharType="begin"/>
        </w:r>
        <w:r>
          <w:rPr>
            <w:noProof/>
            <w:webHidden/>
          </w:rPr>
          <w:instrText xml:space="preserve"> PAGEREF _Toc182409738 \h </w:instrText>
        </w:r>
        <w:r>
          <w:rPr>
            <w:noProof/>
            <w:webHidden/>
          </w:rPr>
        </w:r>
        <w:r>
          <w:rPr>
            <w:noProof/>
            <w:webHidden/>
          </w:rPr>
          <w:fldChar w:fldCharType="separate"/>
        </w:r>
        <w:r>
          <w:rPr>
            <w:noProof/>
            <w:webHidden/>
          </w:rPr>
          <w:t>103</w:t>
        </w:r>
        <w:r>
          <w:rPr>
            <w:noProof/>
            <w:webHidden/>
          </w:rPr>
          <w:fldChar w:fldCharType="end"/>
        </w:r>
      </w:hyperlink>
    </w:p>
    <w:p w14:paraId="21DA252C" w14:textId="1FBD10F2" w:rsidR="006D5705" w:rsidRDefault="006D570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409739" w:history="1">
        <w:r w:rsidRPr="00BA2351">
          <w:rPr>
            <w:rStyle w:val="Hyperlink"/>
            <w:noProof/>
          </w:rPr>
          <w:t>Outros Serviços Online</w:t>
        </w:r>
        <w:r>
          <w:rPr>
            <w:noProof/>
            <w:webHidden/>
          </w:rPr>
          <w:tab/>
        </w:r>
        <w:r>
          <w:rPr>
            <w:noProof/>
            <w:webHidden/>
          </w:rPr>
          <w:fldChar w:fldCharType="begin"/>
        </w:r>
        <w:r>
          <w:rPr>
            <w:noProof/>
            <w:webHidden/>
          </w:rPr>
          <w:instrText xml:space="preserve"> PAGEREF _Toc182409739 \h </w:instrText>
        </w:r>
        <w:r>
          <w:rPr>
            <w:noProof/>
            <w:webHidden/>
          </w:rPr>
        </w:r>
        <w:r>
          <w:rPr>
            <w:noProof/>
            <w:webHidden/>
          </w:rPr>
          <w:fldChar w:fldCharType="separate"/>
        </w:r>
        <w:r>
          <w:rPr>
            <w:noProof/>
            <w:webHidden/>
          </w:rPr>
          <w:t>104</w:t>
        </w:r>
        <w:r>
          <w:rPr>
            <w:noProof/>
            <w:webHidden/>
          </w:rPr>
          <w:fldChar w:fldCharType="end"/>
        </w:r>
      </w:hyperlink>
    </w:p>
    <w:p w14:paraId="48D0D975" w14:textId="3D45C22C" w:rsidR="006D5705" w:rsidRDefault="006D5705">
      <w:pPr>
        <w:pStyle w:val="TOC4"/>
        <w:rPr>
          <w:rFonts w:eastAsiaTheme="minorEastAsia"/>
          <w:smallCaps w:val="0"/>
          <w:noProof/>
          <w:kern w:val="2"/>
          <w:sz w:val="24"/>
          <w:szCs w:val="24"/>
          <w:lang w:val="en-US" w:eastAsia="en-US" w:bidi="ar-SA"/>
          <w14:ligatures w14:val="standardContextual"/>
        </w:rPr>
      </w:pPr>
      <w:hyperlink w:anchor="_Toc182409740" w:history="1">
        <w:r w:rsidRPr="00BA2351">
          <w:rPr>
            <w:rStyle w:val="Hyperlink"/>
            <w:noProof/>
          </w:rPr>
          <w:t>Microsoft Defender para Identidade</w:t>
        </w:r>
        <w:r>
          <w:rPr>
            <w:noProof/>
            <w:webHidden/>
          </w:rPr>
          <w:tab/>
        </w:r>
        <w:r>
          <w:rPr>
            <w:noProof/>
            <w:webHidden/>
          </w:rPr>
          <w:fldChar w:fldCharType="begin"/>
        </w:r>
        <w:r>
          <w:rPr>
            <w:noProof/>
            <w:webHidden/>
          </w:rPr>
          <w:instrText xml:space="preserve"> PAGEREF _Toc182409740 \h </w:instrText>
        </w:r>
        <w:r>
          <w:rPr>
            <w:noProof/>
            <w:webHidden/>
          </w:rPr>
        </w:r>
        <w:r>
          <w:rPr>
            <w:noProof/>
            <w:webHidden/>
          </w:rPr>
          <w:fldChar w:fldCharType="separate"/>
        </w:r>
        <w:r>
          <w:rPr>
            <w:noProof/>
            <w:webHidden/>
          </w:rPr>
          <w:t>104</w:t>
        </w:r>
        <w:r>
          <w:rPr>
            <w:noProof/>
            <w:webHidden/>
          </w:rPr>
          <w:fldChar w:fldCharType="end"/>
        </w:r>
      </w:hyperlink>
    </w:p>
    <w:p w14:paraId="0F333A7E" w14:textId="20998266" w:rsidR="006D5705" w:rsidRDefault="006D5705">
      <w:pPr>
        <w:pStyle w:val="TOC4"/>
        <w:rPr>
          <w:rFonts w:eastAsiaTheme="minorEastAsia"/>
          <w:smallCaps w:val="0"/>
          <w:noProof/>
          <w:kern w:val="2"/>
          <w:sz w:val="24"/>
          <w:szCs w:val="24"/>
          <w:lang w:val="en-US" w:eastAsia="en-US" w:bidi="ar-SA"/>
          <w14:ligatures w14:val="standardContextual"/>
        </w:rPr>
      </w:pPr>
      <w:hyperlink w:anchor="_Toc182409741" w:history="1">
        <w:r w:rsidRPr="00BA2351">
          <w:rPr>
            <w:rStyle w:val="Hyperlink"/>
            <w:noProof/>
          </w:rPr>
          <w:t>Microsoft Defender para IoT</w:t>
        </w:r>
        <w:r>
          <w:rPr>
            <w:noProof/>
            <w:webHidden/>
          </w:rPr>
          <w:tab/>
        </w:r>
        <w:r>
          <w:rPr>
            <w:noProof/>
            <w:webHidden/>
          </w:rPr>
          <w:fldChar w:fldCharType="begin"/>
        </w:r>
        <w:r>
          <w:rPr>
            <w:noProof/>
            <w:webHidden/>
          </w:rPr>
          <w:instrText xml:space="preserve"> PAGEREF _Toc182409741 \h </w:instrText>
        </w:r>
        <w:r>
          <w:rPr>
            <w:noProof/>
            <w:webHidden/>
          </w:rPr>
        </w:r>
        <w:r>
          <w:rPr>
            <w:noProof/>
            <w:webHidden/>
          </w:rPr>
          <w:fldChar w:fldCharType="separate"/>
        </w:r>
        <w:r>
          <w:rPr>
            <w:noProof/>
            <w:webHidden/>
          </w:rPr>
          <w:t>104</w:t>
        </w:r>
        <w:r>
          <w:rPr>
            <w:noProof/>
            <w:webHidden/>
          </w:rPr>
          <w:fldChar w:fldCharType="end"/>
        </w:r>
      </w:hyperlink>
    </w:p>
    <w:p w14:paraId="3B57B736" w14:textId="17E155EA" w:rsidR="006D5705" w:rsidRDefault="006D5705">
      <w:pPr>
        <w:pStyle w:val="TOC4"/>
        <w:rPr>
          <w:rFonts w:eastAsiaTheme="minorEastAsia"/>
          <w:smallCaps w:val="0"/>
          <w:noProof/>
          <w:kern w:val="2"/>
          <w:sz w:val="24"/>
          <w:szCs w:val="24"/>
          <w:lang w:val="en-US" w:eastAsia="en-US" w:bidi="ar-SA"/>
          <w14:ligatures w14:val="standardContextual"/>
        </w:rPr>
      </w:pPr>
      <w:hyperlink w:anchor="_Toc182409742" w:history="1">
        <w:r w:rsidRPr="00BA2351">
          <w:rPr>
            <w:rStyle w:val="Hyperlink"/>
            <w:noProof/>
          </w:rPr>
          <w:t>Bing Maps Enterprise Platform</w:t>
        </w:r>
        <w:r>
          <w:rPr>
            <w:noProof/>
            <w:webHidden/>
          </w:rPr>
          <w:tab/>
        </w:r>
        <w:r>
          <w:rPr>
            <w:noProof/>
            <w:webHidden/>
          </w:rPr>
          <w:fldChar w:fldCharType="begin"/>
        </w:r>
        <w:r>
          <w:rPr>
            <w:noProof/>
            <w:webHidden/>
          </w:rPr>
          <w:instrText xml:space="preserve"> PAGEREF _Toc182409742 \h </w:instrText>
        </w:r>
        <w:r>
          <w:rPr>
            <w:noProof/>
            <w:webHidden/>
          </w:rPr>
        </w:r>
        <w:r>
          <w:rPr>
            <w:noProof/>
            <w:webHidden/>
          </w:rPr>
          <w:fldChar w:fldCharType="separate"/>
        </w:r>
        <w:r>
          <w:rPr>
            <w:noProof/>
            <w:webHidden/>
          </w:rPr>
          <w:t>105</w:t>
        </w:r>
        <w:r>
          <w:rPr>
            <w:noProof/>
            <w:webHidden/>
          </w:rPr>
          <w:fldChar w:fldCharType="end"/>
        </w:r>
      </w:hyperlink>
    </w:p>
    <w:p w14:paraId="2F1C5860" w14:textId="5C4BF370" w:rsidR="006D5705" w:rsidRDefault="006D5705">
      <w:pPr>
        <w:pStyle w:val="TOC4"/>
        <w:rPr>
          <w:rFonts w:eastAsiaTheme="minorEastAsia"/>
          <w:smallCaps w:val="0"/>
          <w:noProof/>
          <w:kern w:val="2"/>
          <w:sz w:val="24"/>
          <w:szCs w:val="24"/>
          <w:lang w:val="en-US" w:eastAsia="en-US" w:bidi="ar-SA"/>
          <w14:ligatures w14:val="standardContextual"/>
        </w:rPr>
      </w:pPr>
      <w:hyperlink w:anchor="_Toc182409743" w:history="1">
        <w:r w:rsidRPr="00BA2351">
          <w:rPr>
            <w:rStyle w:val="Hyperlink"/>
            <w:noProof/>
          </w:rPr>
          <w:t>Bing Maps Mobile Asset Management</w:t>
        </w:r>
        <w:r>
          <w:rPr>
            <w:noProof/>
            <w:webHidden/>
          </w:rPr>
          <w:tab/>
        </w:r>
        <w:r>
          <w:rPr>
            <w:noProof/>
            <w:webHidden/>
          </w:rPr>
          <w:fldChar w:fldCharType="begin"/>
        </w:r>
        <w:r>
          <w:rPr>
            <w:noProof/>
            <w:webHidden/>
          </w:rPr>
          <w:instrText xml:space="preserve"> PAGEREF _Toc182409743 \h </w:instrText>
        </w:r>
        <w:r>
          <w:rPr>
            <w:noProof/>
            <w:webHidden/>
          </w:rPr>
        </w:r>
        <w:r>
          <w:rPr>
            <w:noProof/>
            <w:webHidden/>
          </w:rPr>
          <w:fldChar w:fldCharType="separate"/>
        </w:r>
        <w:r>
          <w:rPr>
            <w:noProof/>
            <w:webHidden/>
          </w:rPr>
          <w:t>105</w:t>
        </w:r>
        <w:r>
          <w:rPr>
            <w:noProof/>
            <w:webHidden/>
          </w:rPr>
          <w:fldChar w:fldCharType="end"/>
        </w:r>
      </w:hyperlink>
    </w:p>
    <w:p w14:paraId="6D7738D5" w14:textId="356512D8" w:rsidR="006D5705" w:rsidRDefault="006D5705">
      <w:pPr>
        <w:pStyle w:val="TOC4"/>
        <w:rPr>
          <w:rFonts w:eastAsiaTheme="minorEastAsia"/>
          <w:smallCaps w:val="0"/>
          <w:noProof/>
          <w:kern w:val="2"/>
          <w:sz w:val="24"/>
          <w:szCs w:val="24"/>
          <w:lang w:val="en-US" w:eastAsia="en-US" w:bidi="ar-SA"/>
          <w14:ligatures w14:val="standardContextual"/>
        </w:rPr>
      </w:pPr>
      <w:hyperlink w:anchor="_Toc182409744" w:history="1">
        <w:r w:rsidRPr="00BA2351">
          <w:rPr>
            <w:rStyle w:val="Hyperlink"/>
            <w:noProof/>
          </w:rPr>
          <w:t>Microsoft Cloud App Security</w:t>
        </w:r>
        <w:r>
          <w:rPr>
            <w:noProof/>
            <w:webHidden/>
          </w:rPr>
          <w:tab/>
        </w:r>
        <w:r>
          <w:rPr>
            <w:noProof/>
            <w:webHidden/>
          </w:rPr>
          <w:fldChar w:fldCharType="begin"/>
        </w:r>
        <w:r>
          <w:rPr>
            <w:noProof/>
            <w:webHidden/>
          </w:rPr>
          <w:instrText xml:space="preserve"> PAGEREF _Toc182409744 \h </w:instrText>
        </w:r>
        <w:r>
          <w:rPr>
            <w:noProof/>
            <w:webHidden/>
          </w:rPr>
        </w:r>
        <w:r>
          <w:rPr>
            <w:noProof/>
            <w:webHidden/>
          </w:rPr>
          <w:fldChar w:fldCharType="separate"/>
        </w:r>
        <w:r>
          <w:rPr>
            <w:noProof/>
            <w:webHidden/>
          </w:rPr>
          <w:t>106</w:t>
        </w:r>
        <w:r>
          <w:rPr>
            <w:noProof/>
            <w:webHidden/>
          </w:rPr>
          <w:fldChar w:fldCharType="end"/>
        </w:r>
      </w:hyperlink>
    </w:p>
    <w:p w14:paraId="11CC3B0B" w14:textId="0DB40AB3" w:rsidR="006D5705" w:rsidRDefault="006D5705">
      <w:pPr>
        <w:pStyle w:val="TOC4"/>
        <w:rPr>
          <w:rFonts w:eastAsiaTheme="minorEastAsia"/>
          <w:smallCaps w:val="0"/>
          <w:noProof/>
          <w:kern w:val="2"/>
          <w:sz w:val="24"/>
          <w:szCs w:val="24"/>
          <w:lang w:val="en-US" w:eastAsia="en-US" w:bidi="ar-SA"/>
          <w14:ligatures w14:val="standardContextual"/>
        </w:rPr>
      </w:pPr>
      <w:hyperlink w:anchor="_Toc182409745" w:history="1">
        <w:r w:rsidRPr="00BA2351">
          <w:rPr>
            <w:rStyle w:val="Hyperlink"/>
            <w:noProof/>
          </w:rPr>
          <w:t>Microsoft Power Automate</w:t>
        </w:r>
        <w:r>
          <w:rPr>
            <w:noProof/>
            <w:webHidden/>
          </w:rPr>
          <w:tab/>
        </w:r>
        <w:r>
          <w:rPr>
            <w:noProof/>
            <w:webHidden/>
          </w:rPr>
          <w:fldChar w:fldCharType="begin"/>
        </w:r>
        <w:r>
          <w:rPr>
            <w:noProof/>
            <w:webHidden/>
          </w:rPr>
          <w:instrText xml:space="preserve"> PAGEREF _Toc182409745 \h </w:instrText>
        </w:r>
        <w:r>
          <w:rPr>
            <w:noProof/>
            <w:webHidden/>
          </w:rPr>
        </w:r>
        <w:r>
          <w:rPr>
            <w:noProof/>
            <w:webHidden/>
          </w:rPr>
          <w:fldChar w:fldCharType="separate"/>
        </w:r>
        <w:r>
          <w:rPr>
            <w:noProof/>
            <w:webHidden/>
          </w:rPr>
          <w:t>106</w:t>
        </w:r>
        <w:r>
          <w:rPr>
            <w:noProof/>
            <w:webHidden/>
          </w:rPr>
          <w:fldChar w:fldCharType="end"/>
        </w:r>
      </w:hyperlink>
    </w:p>
    <w:p w14:paraId="6301CB9E" w14:textId="483FC644" w:rsidR="006D5705" w:rsidRDefault="006D5705">
      <w:pPr>
        <w:pStyle w:val="TOC4"/>
        <w:rPr>
          <w:rFonts w:eastAsiaTheme="minorEastAsia"/>
          <w:smallCaps w:val="0"/>
          <w:noProof/>
          <w:kern w:val="2"/>
          <w:sz w:val="24"/>
          <w:szCs w:val="24"/>
          <w:lang w:val="en-US" w:eastAsia="en-US" w:bidi="ar-SA"/>
          <w14:ligatures w14:val="standardContextual"/>
        </w:rPr>
      </w:pPr>
      <w:hyperlink w:anchor="_Toc182409746" w:history="1">
        <w:r w:rsidRPr="00BA2351">
          <w:rPr>
            <w:rStyle w:val="Hyperlink"/>
            <w:noProof/>
          </w:rPr>
          <w:t>Microsoft Power Pages</w:t>
        </w:r>
        <w:r>
          <w:rPr>
            <w:noProof/>
            <w:webHidden/>
          </w:rPr>
          <w:tab/>
        </w:r>
        <w:r>
          <w:rPr>
            <w:noProof/>
            <w:webHidden/>
          </w:rPr>
          <w:fldChar w:fldCharType="begin"/>
        </w:r>
        <w:r>
          <w:rPr>
            <w:noProof/>
            <w:webHidden/>
          </w:rPr>
          <w:instrText xml:space="preserve"> PAGEREF _Toc182409746 \h </w:instrText>
        </w:r>
        <w:r>
          <w:rPr>
            <w:noProof/>
            <w:webHidden/>
          </w:rPr>
        </w:r>
        <w:r>
          <w:rPr>
            <w:noProof/>
            <w:webHidden/>
          </w:rPr>
          <w:fldChar w:fldCharType="separate"/>
        </w:r>
        <w:r>
          <w:rPr>
            <w:noProof/>
            <w:webHidden/>
          </w:rPr>
          <w:t>106</w:t>
        </w:r>
        <w:r>
          <w:rPr>
            <w:noProof/>
            <w:webHidden/>
          </w:rPr>
          <w:fldChar w:fldCharType="end"/>
        </w:r>
      </w:hyperlink>
    </w:p>
    <w:p w14:paraId="56ED5632" w14:textId="0E416395" w:rsidR="006D5705" w:rsidRDefault="006D5705">
      <w:pPr>
        <w:pStyle w:val="TOC4"/>
        <w:rPr>
          <w:rFonts w:eastAsiaTheme="minorEastAsia"/>
          <w:smallCaps w:val="0"/>
          <w:noProof/>
          <w:kern w:val="2"/>
          <w:sz w:val="24"/>
          <w:szCs w:val="24"/>
          <w:lang w:val="en-US" w:eastAsia="en-US" w:bidi="ar-SA"/>
          <w14:ligatures w14:val="standardContextual"/>
        </w:rPr>
      </w:pPr>
      <w:hyperlink w:anchor="_Toc182409747" w:history="1">
        <w:r w:rsidRPr="00BA2351">
          <w:rPr>
            <w:rStyle w:val="Hyperlink"/>
            <w:noProof/>
          </w:rPr>
          <w:t>Microsoft Intune</w:t>
        </w:r>
        <w:r>
          <w:rPr>
            <w:noProof/>
            <w:webHidden/>
          </w:rPr>
          <w:tab/>
        </w:r>
        <w:r>
          <w:rPr>
            <w:noProof/>
            <w:webHidden/>
          </w:rPr>
          <w:fldChar w:fldCharType="begin"/>
        </w:r>
        <w:r>
          <w:rPr>
            <w:noProof/>
            <w:webHidden/>
          </w:rPr>
          <w:instrText xml:space="preserve"> PAGEREF _Toc182409747 \h </w:instrText>
        </w:r>
        <w:r>
          <w:rPr>
            <w:noProof/>
            <w:webHidden/>
          </w:rPr>
        </w:r>
        <w:r>
          <w:rPr>
            <w:noProof/>
            <w:webHidden/>
          </w:rPr>
          <w:fldChar w:fldCharType="separate"/>
        </w:r>
        <w:r>
          <w:rPr>
            <w:noProof/>
            <w:webHidden/>
          </w:rPr>
          <w:t>107</w:t>
        </w:r>
        <w:r>
          <w:rPr>
            <w:noProof/>
            <w:webHidden/>
          </w:rPr>
          <w:fldChar w:fldCharType="end"/>
        </w:r>
      </w:hyperlink>
    </w:p>
    <w:p w14:paraId="6A10A849" w14:textId="7E4E5B6C" w:rsidR="006D5705" w:rsidRDefault="006D5705">
      <w:pPr>
        <w:pStyle w:val="TOC4"/>
        <w:rPr>
          <w:rFonts w:eastAsiaTheme="minorEastAsia"/>
          <w:smallCaps w:val="0"/>
          <w:noProof/>
          <w:kern w:val="2"/>
          <w:sz w:val="24"/>
          <w:szCs w:val="24"/>
          <w:lang w:val="en-US" w:eastAsia="en-US" w:bidi="ar-SA"/>
          <w14:ligatures w14:val="standardContextual"/>
        </w:rPr>
      </w:pPr>
      <w:hyperlink w:anchor="_Toc182409748" w:history="1">
        <w:r w:rsidRPr="00BA2351">
          <w:rPr>
            <w:rStyle w:val="Hyperlink"/>
            <w:noProof/>
          </w:rPr>
          <w:t>Microsoft Kaizala Pro</w:t>
        </w:r>
        <w:r>
          <w:rPr>
            <w:noProof/>
            <w:webHidden/>
          </w:rPr>
          <w:tab/>
        </w:r>
        <w:r>
          <w:rPr>
            <w:noProof/>
            <w:webHidden/>
          </w:rPr>
          <w:fldChar w:fldCharType="begin"/>
        </w:r>
        <w:r>
          <w:rPr>
            <w:noProof/>
            <w:webHidden/>
          </w:rPr>
          <w:instrText xml:space="preserve"> PAGEREF _Toc182409748 \h </w:instrText>
        </w:r>
        <w:r>
          <w:rPr>
            <w:noProof/>
            <w:webHidden/>
          </w:rPr>
        </w:r>
        <w:r>
          <w:rPr>
            <w:noProof/>
            <w:webHidden/>
          </w:rPr>
          <w:fldChar w:fldCharType="separate"/>
        </w:r>
        <w:r>
          <w:rPr>
            <w:noProof/>
            <w:webHidden/>
          </w:rPr>
          <w:t>107</w:t>
        </w:r>
        <w:r>
          <w:rPr>
            <w:noProof/>
            <w:webHidden/>
          </w:rPr>
          <w:fldChar w:fldCharType="end"/>
        </w:r>
      </w:hyperlink>
    </w:p>
    <w:p w14:paraId="1C14D67B" w14:textId="3C55F496" w:rsidR="006D5705" w:rsidRDefault="006D5705">
      <w:pPr>
        <w:pStyle w:val="TOC4"/>
        <w:rPr>
          <w:rFonts w:eastAsiaTheme="minorEastAsia"/>
          <w:smallCaps w:val="0"/>
          <w:noProof/>
          <w:kern w:val="2"/>
          <w:sz w:val="24"/>
          <w:szCs w:val="24"/>
          <w:lang w:val="en-US" w:eastAsia="en-US" w:bidi="ar-SA"/>
          <w14:ligatures w14:val="standardContextual"/>
        </w:rPr>
      </w:pPr>
      <w:hyperlink w:anchor="_Toc182409749" w:history="1">
        <w:r w:rsidRPr="00BA2351">
          <w:rPr>
            <w:rStyle w:val="Hyperlink"/>
            <w:noProof/>
          </w:rPr>
          <w:t>Microsoft Power Apps</w:t>
        </w:r>
        <w:r>
          <w:rPr>
            <w:noProof/>
            <w:webHidden/>
          </w:rPr>
          <w:tab/>
        </w:r>
        <w:r>
          <w:rPr>
            <w:noProof/>
            <w:webHidden/>
          </w:rPr>
          <w:fldChar w:fldCharType="begin"/>
        </w:r>
        <w:r>
          <w:rPr>
            <w:noProof/>
            <w:webHidden/>
          </w:rPr>
          <w:instrText xml:space="preserve"> PAGEREF _Toc182409749 \h </w:instrText>
        </w:r>
        <w:r>
          <w:rPr>
            <w:noProof/>
            <w:webHidden/>
          </w:rPr>
        </w:r>
        <w:r>
          <w:rPr>
            <w:noProof/>
            <w:webHidden/>
          </w:rPr>
          <w:fldChar w:fldCharType="separate"/>
        </w:r>
        <w:r>
          <w:rPr>
            <w:noProof/>
            <w:webHidden/>
          </w:rPr>
          <w:t>107</w:t>
        </w:r>
        <w:r>
          <w:rPr>
            <w:noProof/>
            <w:webHidden/>
          </w:rPr>
          <w:fldChar w:fldCharType="end"/>
        </w:r>
      </w:hyperlink>
    </w:p>
    <w:p w14:paraId="6674FDFB" w14:textId="7F42806D" w:rsidR="006D5705" w:rsidRDefault="006D5705">
      <w:pPr>
        <w:pStyle w:val="TOC4"/>
        <w:rPr>
          <w:rFonts w:eastAsiaTheme="minorEastAsia"/>
          <w:smallCaps w:val="0"/>
          <w:noProof/>
          <w:kern w:val="2"/>
          <w:sz w:val="24"/>
          <w:szCs w:val="24"/>
          <w:lang w:val="en-US" w:eastAsia="en-US" w:bidi="ar-SA"/>
          <w14:ligatures w14:val="standardContextual"/>
        </w:rPr>
      </w:pPr>
      <w:hyperlink w:anchor="_Toc182409750" w:history="1">
        <w:r w:rsidRPr="00BA2351">
          <w:rPr>
            <w:rStyle w:val="Hyperlink"/>
            <w:noProof/>
          </w:rPr>
          <w:t>Microsoft Copilot Studio</w:t>
        </w:r>
        <w:r>
          <w:rPr>
            <w:noProof/>
            <w:webHidden/>
          </w:rPr>
          <w:tab/>
        </w:r>
        <w:r>
          <w:rPr>
            <w:noProof/>
            <w:webHidden/>
          </w:rPr>
          <w:fldChar w:fldCharType="begin"/>
        </w:r>
        <w:r>
          <w:rPr>
            <w:noProof/>
            <w:webHidden/>
          </w:rPr>
          <w:instrText xml:space="preserve"> PAGEREF _Toc182409750 \h </w:instrText>
        </w:r>
        <w:r>
          <w:rPr>
            <w:noProof/>
            <w:webHidden/>
          </w:rPr>
        </w:r>
        <w:r>
          <w:rPr>
            <w:noProof/>
            <w:webHidden/>
          </w:rPr>
          <w:fldChar w:fldCharType="separate"/>
        </w:r>
        <w:r>
          <w:rPr>
            <w:noProof/>
            <w:webHidden/>
          </w:rPr>
          <w:t>108</w:t>
        </w:r>
        <w:r>
          <w:rPr>
            <w:noProof/>
            <w:webHidden/>
          </w:rPr>
          <w:fldChar w:fldCharType="end"/>
        </w:r>
      </w:hyperlink>
    </w:p>
    <w:p w14:paraId="31406319" w14:textId="2F88F5DA" w:rsidR="006D5705" w:rsidRDefault="006D5705">
      <w:pPr>
        <w:pStyle w:val="TOC4"/>
        <w:rPr>
          <w:rFonts w:eastAsiaTheme="minorEastAsia"/>
          <w:smallCaps w:val="0"/>
          <w:noProof/>
          <w:kern w:val="2"/>
          <w:sz w:val="24"/>
          <w:szCs w:val="24"/>
          <w:lang w:val="en-US" w:eastAsia="en-US" w:bidi="ar-SA"/>
          <w14:ligatures w14:val="standardContextual"/>
        </w:rPr>
      </w:pPr>
      <w:hyperlink w:anchor="_Toc182409751" w:history="1">
        <w:r w:rsidRPr="00BA2351">
          <w:rPr>
            <w:rStyle w:val="Hyperlink"/>
            <w:noProof/>
          </w:rPr>
          <w:t>Gestor de Sustentabilidade da Microsoft</w:t>
        </w:r>
        <w:r>
          <w:rPr>
            <w:noProof/>
            <w:webHidden/>
          </w:rPr>
          <w:tab/>
        </w:r>
        <w:r>
          <w:rPr>
            <w:noProof/>
            <w:webHidden/>
          </w:rPr>
          <w:fldChar w:fldCharType="begin"/>
        </w:r>
        <w:r>
          <w:rPr>
            <w:noProof/>
            <w:webHidden/>
          </w:rPr>
          <w:instrText xml:space="preserve"> PAGEREF _Toc182409751 \h </w:instrText>
        </w:r>
        <w:r>
          <w:rPr>
            <w:noProof/>
            <w:webHidden/>
          </w:rPr>
        </w:r>
        <w:r>
          <w:rPr>
            <w:noProof/>
            <w:webHidden/>
          </w:rPr>
          <w:fldChar w:fldCharType="separate"/>
        </w:r>
        <w:r>
          <w:rPr>
            <w:noProof/>
            <w:webHidden/>
          </w:rPr>
          <w:t>108</w:t>
        </w:r>
        <w:r>
          <w:rPr>
            <w:noProof/>
            <w:webHidden/>
          </w:rPr>
          <w:fldChar w:fldCharType="end"/>
        </w:r>
      </w:hyperlink>
    </w:p>
    <w:p w14:paraId="0E26728D" w14:textId="7B8483F5" w:rsidR="006D5705" w:rsidRDefault="006D5705">
      <w:pPr>
        <w:pStyle w:val="TOC4"/>
        <w:rPr>
          <w:rFonts w:eastAsiaTheme="minorEastAsia"/>
          <w:smallCaps w:val="0"/>
          <w:noProof/>
          <w:kern w:val="2"/>
          <w:sz w:val="24"/>
          <w:szCs w:val="24"/>
          <w:lang w:val="en-US" w:eastAsia="en-US" w:bidi="ar-SA"/>
          <w14:ligatures w14:val="standardContextual"/>
        </w:rPr>
      </w:pPr>
      <w:hyperlink w:anchor="_Toc182409752" w:history="1">
        <w:r w:rsidRPr="00BA2351">
          <w:rPr>
            <w:rStyle w:val="Hyperlink"/>
            <w:noProof/>
          </w:rPr>
          <w:t>Minecraft: Education Edition</w:t>
        </w:r>
        <w:r>
          <w:rPr>
            <w:noProof/>
            <w:webHidden/>
          </w:rPr>
          <w:tab/>
        </w:r>
        <w:r>
          <w:rPr>
            <w:noProof/>
            <w:webHidden/>
          </w:rPr>
          <w:fldChar w:fldCharType="begin"/>
        </w:r>
        <w:r>
          <w:rPr>
            <w:noProof/>
            <w:webHidden/>
          </w:rPr>
          <w:instrText xml:space="preserve"> PAGEREF _Toc182409752 \h </w:instrText>
        </w:r>
        <w:r>
          <w:rPr>
            <w:noProof/>
            <w:webHidden/>
          </w:rPr>
        </w:r>
        <w:r>
          <w:rPr>
            <w:noProof/>
            <w:webHidden/>
          </w:rPr>
          <w:fldChar w:fldCharType="separate"/>
        </w:r>
        <w:r>
          <w:rPr>
            <w:noProof/>
            <w:webHidden/>
          </w:rPr>
          <w:t>108</w:t>
        </w:r>
        <w:r>
          <w:rPr>
            <w:noProof/>
            <w:webHidden/>
          </w:rPr>
          <w:fldChar w:fldCharType="end"/>
        </w:r>
      </w:hyperlink>
    </w:p>
    <w:p w14:paraId="74055519" w14:textId="6367035A" w:rsidR="006D5705" w:rsidRDefault="006D5705">
      <w:pPr>
        <w:pStyle w:val="TOC4"/>
        <w:rPr>
          <w:rFonts w:eastAsiaTheme="minorEastAsia"/>
          <w:smallCaps w:val="0"/>
          <w:noProof/>
          <w:kern w:val="2"/>
          <w:sz w:val="24"/>
          <w:szCs w:val="24"/>
          <w:lang w:val="en-US" w:eastAsia="en-US" w:bidi="ar-SA"/>
          <w14:ligatures w14:val="standardContextual"/>
        </w:rPr>
      </w:pPr>
      <w:hyperlink w:anchor="_Toc182409753" w:history="1">
        <w:r w:rsidRPr="00BA2351">
          <w:rPr>
            <w:rStyle w:val="Hyperlink"/>
            <w:noProof/>
          </w:rPr>
          <w:t>Power BI Embedded</w:t>
        </w:r>
        <w:r>
          <w:rPr>
            <w:noProof/>
            <w:webHidden/>
          </w:rPr>
          <w:tab/>
        </w:r>
        <w:r>
          <w:rPr>
            <w:noProof/>
            <w:webHidden/>
          </w:rPr>
          <w:fldChar w:fldCharType="begin"/>
        </w:r>
        <w:r>
          <w:rPr>
            <w:noProof/>
            <w:webHidden/>
          </w:rPr>
          <w:instrText xml:space="preserve"> PAGEREF _Toc182409753 \h </w:instrText>
        </w:r>
        <w:r>
          <w:rPr>
            <w:noProof/>
            <w:webHidden/>
          </w:rPr>
        </w:r>
        <w:r>
          <w:rPr>
            <w:noProof/>
            <w:webHidden/>
          </w:rPr>
          <w:fldChar w:fldCharType="separate"/>
        </w:r>
        <w:r>
          <w:rPr>
            <w:noProof/>
            <w:webHidden/>
          </w:rPr>
          <w:t>109</w:t>
        </w:r>
        <w:r>
          <w:rPr>
            <w:noProof/>
            <w:webHidden/>
          </w:rPr>
          <w:fldChar w:fldCharType="end"/>
        </w:r>
      </w:hyperlink>
    </w:p>
    <w:p w14:paraId="0B9EA409" w14:textId="24D3AB6C" w:rsidR="006D5705" w:rsidRDefault="006D5705">
      <w:pPr>
        <w:pStyle w:val="TOC4"/>
        <w:rPr>
          <w:rFonts w:eastAsiaTheme="minorEastAsia"/>
          <w:smallCaps w:val="0"/>
          <w:noProof/>
          <w:kern w:val="2"/>
          <w:sz w:val="24"/>
          <w:szCs w:val="24"/>
          <w:lang w:val="en-US" w:eastAsia="en-US" w:bidi="ar-SA"/>
          <w14:ligatures w14:val="standardContextual"/>
        </w:rPr>
      </w:pPr>
      <w:hyperlink w:anchor="_Toc182409754" w:history="1">
        <w:r w:rsidRPr="00BA2351">
          <w:rPr>
            <w:rStyle w:val="Hyperlink"/>
            <w:noProof/>
          </w:rPr>
          <w:t>Power BI Premium</w:t>
        </w:r>
        <w:r>
          <w:rPr>
            <w:noProof/>
            <w:webHidden/>
          </w:rPr>
          <w:tab/>
        </w:r>
        <w:r>
          <w:rPr>
            <w:noProof/>
            <w:webHidden/>
          </w:rPr>
          <w:fldChar w:fldCharType="begin"/>
        </w:r>
        <w:r>
          <w:rPr>
            <w:noProof/>
            <w:webHidden/>
          </w:rPr>
          <w:instrText xml:space="preserve"> PAGEREF _Toc182409754 \h </w:instrText>
        </w:r>
        <w:r>
          <w:rPr>
            <w:noProof/>
            <w:webHidden/>
          </w:rPr>
        </w:r>
        <w:r>
          <w:rPr>
            <w:noProof/>
            <w:webHidden/>
          </w:rPr>
          <w:fldChar w:fldCharType="separate"/>
        </w:r>
        <w:r>
          <w:rPr>
            <w:noProof/>
            <w:webHidden/>
          </w:rPr>
          <w:t>109</w:t>
        </w:r>
        <w:r>
          <w:rPr>
            <w:noProof/>
            <w:webHidden/>
          </w:rPr>
          <w:fldChar w:fldCharType="end"/>
        </w:r>
      </w:hyperlink>
    </w:p>
    <w:p w14:paraId="60079BCC" w14:textId="50DA6EFE" w:rsidR="006D5705" w:rsidRDefault="006D5705">
      <w:pPr>
        <w:pStyle w:val="TOC4"/>
        <w:rPr>
          <w:rFonts w:eastAsiaTheme="minorEastAsia"/>
          <w:smallCaps w:val="0"/>
          <w:noProof/>
          <w:kern w:val="2"/>
          <w:sz w:val="24"/>
          <w:szCs w:val="24"/>
          <w:lang w:val="en-US" w:eastAsia="en-US" w:bidi="ar-SA"/>
          <w14:ligatures w14:val="standardContextual"/>
        </w:rPr>
      </w:pPr>
      <w:hyperlink w:anchor="_Toc182409755" w:history="1">
        <w:r w:rsidRPr="00BA2351">
          <w:rPr>
            <w:rStyle w:val="Hyperlink"/>
            <w:noProof/>
          </w:rPr>
          <w:t>Power BI Pro</w:t>
        </w:r>
        <w:r>
          <w:rPr>
            <w:noProof/>
            <w:webHidden/>
          </w:rPr>
          <w:tab/>
        </w:r>
        <w:r>
          <w:rPr>
            <w:noProof/>
            <w:webHidden/>
          </w:rPr>
          <w:fldChar w:fldCharType="begin"/>
        </w:r>
        <w:r>
          <w:rPr>
            <w:noProof/>
            <w:webHidden/>
          </w:rPr>
          <w:instrText xml:space="preserve"> PAGEREF _Toc182409755 \h </w:instrText>
        </w:r>
        <w:r>
          <w:rPr>
            <w:noProof/>
            <w:webHidden/>
          </w:rPr>
        </w:r>
        <w:r>
          <w:rPr>
            <w:noProof/>
            <w:webHidden/>
          </w:rPr>
          <w:fldChar w:fldCharType="separate"/>
        </w:r>
        <w:r>
          <w:rPr>
            <w:noProof/>
            <w:webHidden/>
          </w:rPr>
          <w:t>110</w:t>
        </w:r>
        <w:r>
          <w:rPr>
            <w:noProof/>
            <w:webHidden/>
          </w:rPr>
          <w:fldChar w:fldCharType="end"/>
        </w:r>
      </w:hyperlink>
    </w:p>
    <w:p w14:paraId="1EF0D999" w14:textId="588D24FB" w:rsidR="006D5705" w:rsidRDefault="006D5705">
      <w:pPr>
        <w:pStyle w:val="TOC4"/>
        <w:rPr>
          <w:rFonts w:eastAsiaTheme="minorEastAsia"/>
          <w:smallCaps w:val="0"/>
          <w:noProof/>
          <w:kern w:val="2"/>
          <w:sz w:val="24"/>
          <w:szCs w:val="24"/>
          <w:lang w:val="en-US" w:eastAsia="en-US" w:bidi="ar-SA"/>
          <w14:ligatures w14:val="standardContextual"/>
        </w:rPr>
      </w:pPr>
      <w:hyperlink w:anchor="_Toc182409756" w:history="1">
        <w:r w:rsidRPr="00BA2351">
          <w:rPr>
            <w:rStyle w:val="Hyperlink"/>
            <w:noProof/>
          </w:rPr>
          <w:t>API Translator</w:t>
        </w:r>
        <w:r>
          <w:rPr>
            <w:noProof/>
            <w:webHidden/>
          </w:rPr>
          <w:tab/>
        </w:r>
        <w:r>
          <w:rPr>
            <w:noProof/>
            <w:webHidden/>
          </w:rPr>
          <w:fldChar w:fldCharType="begin"/>
        </w:r>
        <w:r>
          <w:rPr>
            <w:noProof/>
            <w:webHidden/>
          </w:rPr>
          <w:instrText xml:space="preserve"> PAGEREF _Toc182409756 \h </w:instrText>
        </w:r>
        <w:r>
          <w:rPr>
            <w:noProof/>
            <w:webHidden/>
          </w:rPr>
        </w:r>
        <w:r>
          <w:rPr>
            <w:noProof/>
            <w:webHidden/>
          </w:rPr>
          <w:fldChar w:fldCharType="separate"/>
        </w:r>
        <w:r>
          <w:rPr>
            <w:noProof/>
            <w:webHidden/>
          </w:rPr>
          <w:t>110</w:t>
        </w:r>
        <w:r>
          <w:rPr>
            <w:noProof/>
            <w:webHidden/>
          </w:rPr>
          <w:fldChar w:fldCharType="end"/>
        </w:r>
      </w:hyperlink>
    </w:p>
    <w:p w14:paraId="18D8790F" w14:textId="39CFE292" w:rsidR="006D5705" w:rsidRDefault="006D5705">
      <w:pPr>
        <w:pStyle w:val="TOC4"/>
        <w:rPr>
          <w:rFonts w:eastAsiaTheme="minorEastAsia"/>
          <w:smallCaps w:val="0"/>
          <w:noProof/>
          <w:kern w:val="2"/>
          <w:sz w:val="24"/>
          <w:szCs w:val="24"/>
          <w:lang w:val="en-US" w:eastAsia="en-US" w:bidi="ar-SA"/>
          <w14:ligatures w14:val="standardContextual"/>
        </w:rPr>
      </w:pPr>
      <w:hyperlink w:anchor="_Toc182409757" w:history="1">
        <w:r w:rsidRPr="00BA2351">
          <w:rPr>
            <w:rStyle w:val="Hyperlink"/>
            <w:noProof/>
          </w:rPr>
          <w:t>Microsoft Defender para Endpoint</w:t>
        </w:r>
        <w:r>
          <w:rPr>
            <w:noProof/>
            <w:webHidden/>
          </w:rPr>
          <w:tab/>
        </w:r>
        <w:r>
          <w:rPr>
            <w:noProof/>
            <w:webHidden/>
          </w:rPr>
          <w:fldChar w:fldCharType="begin"/>
        </w:r>
        <w:r>
          <w:rPr>
            <w:noProof/>
            <w:webHidden/>
          </w:rPr>
          <w:instrText xml:space="preserve"> PAGEREF _Toc182409757 \h </w:instrText>
        </w:r>
        <w:r>
          <w:rPr>
            <w:noProof/>
            <w:webHidden/>
          </w:rPr>
        </w:r>
        <w:r>
          <w:rPr>
            <w:noProof/>
            <w:webHidden/>
          </w:rPr>
          <w:fldChar w:fldCharType="separate"/>
        </w:r>
        <w:r>
          <w:rPr>
            <w:noProof/>
            <w:webHidden/>
          </w:rPr>
          <w:t>110</w:t>
        </w:r>
        <w:r>
          <w:rPr>
            <w:noProof/>
            <w:webHidden/>
          </w:rPr>
          <w:fldChar w:fldCharType="end"/>
        </w:r>
      </w:hyperlink>
    </w:p>
    <w:p w14:paraId="43A8E9F3" w14:textId="1B917191" w:rsidR="006D5705" w:rsidRDefault="006D5705">
      <w:pPr>
        <w:pStyle w:val="TOC4"/>
        <w:rPr>
          <w:rFonts w:eastAsiaTheme="minorEastAsia"/>
          <w:smallCaps w:val="0"/>
          <w:noProof/>
          <w:kern w:val="2"/>
          <w:sz w:val="24"/>
          <w:szCs w:val="24"/>
          <w:lang w:val="en-US" w:eastAsia="en-US" w:bidi="ar-SA"/>
          <w14:ligatures w14:val="standardContextual"/>
        </w:rPr>
      </w:pPr>
      <w:hyperlink w:anchor="_Toc182409758" w:history="1">
        <w:r w:rsidRPr="00BA2351">
          <w:rPr>
            <w:rStyle w:val="Hyperlink"/>
            <w:noProof/>
          </w:rPr>
          <w:t>Impressão Universal</w:t>
        </w:r>
        <w:r>
          <w:rPr>
            <w:noProof/>
            <w:webHidden/>
          </w:rPr>
          <w:tab/>
        </w:r>
        <w:r>
          <w:rPr>
            <w:noProof/>
            <w:webHidden/>
          </w:rPr>
          <w:fldChar w:fldCharType="begin"/>
        </w:r>
        <w:r>
          <w:rPr>
            <w:noProof/>
            <w:webHidden/>
          </w:rPr>
          <w:instrText xml:space="preserve"> PAGEREF _Toc182409758 \h </w:instrText>
        </w:r>
        <w:r>
          <w:rPr>
            <w:noProof/>
            <w:webHidden/>
          </w:rPr>
        </w:r>
        <w:r>
          <w:rPr>
            <w:noProof/>
            <w:webHidden/>
          </w:rPr>
          <w:fldChar w:fldCharType="separate"/>
        </w:r>
        <w:r>
          <w:rPr>
            <w:noProof/>
            <w:webHidden/>
          </w:rPr>
          <w:t>111</w:t>
        </w:r>
        <w:r>
          <w:rPr>
            <w:noProof/>
            <w:webHidden/>
          </w:rPr>
          <w:fldChar w:fldCharType="end"/>
        </w:r>
      </w:hyperlink>
    </w:p>
    <w:p w14:paraId="4223DD47" w14:textId="1123427D" w:rsidR="006D5705" w:rsidRDefault="006D5705">
      <w:pPr>
        <w:pStyle w:val="TOC4"/>
        <w:rPr>
          <w:rFonts w:eastAsiaTheme="minorEastAsia"/>
          <w:smallCaps w:val="0"/>
          <w:noProof/>
          <w:kern w:val="2"/>
          <w:sz w:val="24"/>
          <w:szCs w:val="24"/>
          <w:lang w:val="en-US" w:eastAsia="en-US" w:bidi="ar-SA"/>
          <w14:ligatures w14:val="standardContextual"/>
        </w:rPr>
      </w:pPr>
      <w:hyperlink w:anchor="_Toc182409759" w:history="1">
        <w:r w:rsidRPr="00BA2351">
          <w:rPr>
            <w:rStyle w:val="Hyperlink"/>
            <w:noProof/>
          </w:rPr>
          <w:t>Windows 365</w:t>
        </w:r>
        <w:r>
          <w:rPr>
            <w:noProof/>
            <w:webHidden/>
          </w:rPr>
          <w:tab/>
        </w:r>
        <w:r>
          <w:rPr>
            <w:noProof/>
            <w:webHidden/>
          </w:rPr>
          <w:fldChar w:fldCharType="begin"/>
        </w:r>
        <w:r>
          <w:rPr>
            <w:noProof/>
            <w:webHidden/>
          </w:rPr>
          <w:instrText xml:space="preserve"> PAGEREF _Toc182409759 \h </w:instrText>
        </w:r>
        <w:r>
          <w:rPr>
            <w:noProof/>
            <w:webHidden/>
          </w:rPr>
        </w:r>
        <w:r>
          <w:rPr>
            <w:noProof/>
            <w:webHidden/>
          </w:rPr>
          <w:fldChar w:fldCharType="separate"/>
        </w:r>
        <w:r>
          <w:rPr>
            <w:noProof/>
            <w:webHidden/>
          </w:rPr>
          <w:t>111</w:t>
        </w:r>
        <w:r>
          <w:rPr>
            <w:noProof/>
            <w:webHidden/>
          </w:rPr>
          <w:fldChar w:fldCharType="end"/>
        </w:r>
      </w:hyperlink>
    </w:p>
    <w:p w14:paraId="74ECCA00" w14:textId="442FB5FA" w:rsidR="006D5705" w:rsidRDefault="006D5705">
      <w:pPr>
        <w:pStyle w:val="TOC1"/>
        <w:rPr>
          <w:rFonts w:eastAsiaTheme="minorEastAsia"/>
          <w:b w:val="0"/>
          <w:caps w:val="0"/>
          <w:noProof/>
          <w:kern w:val="2"/>
          <w:sz w:val="24"/>
          <w:szCs w:val="24"/>
          <w:lang w:val="en-US" w:eastAsia="en-US" w:bidi="ar-SA"/>
          <w14:ligatures w14:val="standardContextual"/>
        </w:rPr>
      </w:pPr>
      <w:hyperlink w:anchor="_Toc182409760" w:history="1">
        <w:r w:rsidRPr="00BA2351">
          <w:rPr>
            <w:rStyle w:val="Hyperlink"/>
            <w:noProof/>
          </w:rPr>
          <w:t>Apêndice A – Compromisso de Nível de Serviço para Deteção e Bloqueio de Vírus, Eficácia do Spam ou Falso Positivo</w:t>
        </w:r>
        <w:r>
          <w:rPr>
            <w:noProof/>
            <w:webHidden/>
          </w:rPr>
          <w:tab/>
        </w:r>
        <w:r>
          <w:rPr>
            <w:noProof/>
            <w:webHidden/>
          </w:rPr>
          <w:fldChar w:fldCharType="begin"/>
        </w:r>
        <w:r>
          <w:rPr>
            <w:noProof/>
            <w:webHidden/>
          </w:rPr>
          <w:instrText xml:space="preserve"> PAGEREF _Toc182409760 \h </w:instrText>
        </w:r>
        <w:r>
          <w:rPr>
            <w:noProof/>
            <w:webHidden/>
          </w:rPr>
        </w:r>
        <w:r>
          <w:rPr>
            <w:noProof/>
            <w:webHidden/>
          </w:rPr>
          <w:fldChar w:fldCharType="separate"/>
        </w:r>
        <w:r>
          <w:rPr>
            <w:noProof/>
            <w:webHidden/>
          </w:rPr>
          <w:t>113</w:t>
        </w:r>
        <w:r>
          <w:rPr>
            <w:noProof/>
            <w:webHidden/>
          </w:rPr>
          <w:fldChar w:fldCharType="end"/>
        </w:r>
      </w:hyperlink>
    </w:p>
    <w:p w14:paraId="3B0E60B4" w14:textId="4F7CF1F8" w:rsidR="006D5705" w:rsidRDefault="006D5705">
      <w:pPr>
        <w:pStyle w:val="TOC1"/>
        <w:rPr>
          <w:rFonts w:eastAsiaTheme="minorEastAsia"/>
          <w:b w:val="0"/>
          <w:caps w:val="0"/>
          <w:noProof/>
          <w:kern w:val="2"/>
          <w:sz w:val="24"/>
          <w:szCs w:val="24"/>
          <w:lang w:val="en-US" w:eastAsia="en-US" w:bidi="ar-SA"/>
          <w14:ligatures w14:val="standardContextual"/>
        </w:rPr>
      </w:pPr>
      <w:hyperlink w:anchor="_Toc182409761" w:history="1">
        <w:r w:rsidRPr="00BA2351">
          <w:rPr>
            <w:rStyle w:val="Hyperlink"/>
            <w:noProof/>
          </w:rPr>
          <w:t>Apêndice B - Compromisso de Nível de Serviço para Período de Disponibilidade</w:t>
        </w:r>
        <w:r>
          <w:rPr>
            <w:noProof/>
            <w:webHidden/>
          </w:rPr>
          <w:tab/>
        </w:r>
        <w:r>
          <w:rPr>
            <w:noProof/>
            <w:webHidden/>
          </w:rPr>
          <w:fldChar w:fldCharType="begin"/>
        </w:r>
        <w:r>
          <w:rPr>
            <w:noProof/>
            <w:webHidden/>
          </w:rPr>
          <w:instrText xml:space="preserve"> PAGEREF _Toc182409761 \h </w:instrText>
        </w:r>
        <w:r>
          <w:rPr>
            <w:noProof/>
            <w:webHidden/>
          </w:rPr>
        </w:r>
        <w:r>
          <w:rPr>
            <w:noProof/>
            <w:webHidden/>
          </w:rPr>
          <w:fldChar w:fldCharType="separate"/>
        </w:r>
        <w:r>
          <w:rPr>
            <w:noProof/>
            <w:webHidden/>
          </w:rPr>
          <w:t>115</w:t>
        </w:r>
        <w:r>
          <w:rPr>
            <w:noProof/>
            <w:webHidden/>
          </w:rPr>
          <w:fldChar w:fldCharType="end"/>
        </w:r>
      </w:hyperlink>
    </w:p>
    <w:p w14:paraId="16ED5D8F" w14:textId="31A0B93A"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B1CA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F01ED6">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Introdução"/>
      <w:bookmarkStart w:id="11" w:name="_Toc182409574"/>
      <w:bookmarkStart w:id="12" w:name="Introduction"/>
      <w:r>
        <w:t>Introdução</w:t>
      </w:r>
      <w:bookmarkEnd w:id="7"/>
      <w:bookmarkEnd w:id="8"/>
      <w:bookmarkEnd w:id="9"/>
      <w:bookmarkEnd w:id="10"/>
      <w:bookmarkEnd w:id="11"/>
    </w:p>
    <w:p w14:paraId="0B3153E8" w14:textId="533C83C4" w:rsidR="00FA110B" w:rsidRPr="00EF7CF9" w:rsidRDefault="008D1A52" w:rsidP="00F01ED6">
      <w:pPr>
        <w:pStyle w:val="ProductList-SubSection1Heading"/>
      </w:pPr>
      <w:bookmarkStart w:id="13" w:name="_Toc457812795"/>
      <w:bookmarkStart w:id="14" w:name="_Toc457821501"/>
      <w:bookmarkEnd w:id="12"/>
      <w:r>
        <w:t>Acerca deste Documento</w:t>
      </w:r>
      <w:bookmarkEnd w:id="13"/>
      <w:bookmarkEnd w:id="14"/>
    </w:p>
    <w:p w14:paraId="77CF1F44" w14:textId="1A984534" w:rsidR="00E11454" w:rsidRPr="00EF7CF9" w:rsidRDefault="00E11454" w:rsidP="00F01ED6">
      <w:pPr>
        <w:pStyle w:val="ProductList-Body"/>
        <w:tabs>
          <w:tab w:val="clear" w:pos="360"/>
          <w:tab w:val="clear" w:pos="720"/>
          <w:tab w:val="clear" w:pos="1080"/>
        </w:tabs>
      </w:pPr>
      <w:r>
        <w:t xml:space="preserve">Este Contrato de Nível de Serviço para os Serviços Online da Microsoft (este </w:t>
      </w:r>
      <w:r w:rsidR="00380305">
        <w:t>“</w:t>
      </w:r>
      <w:r>
        <w:t>SLA</w:t>
      </w:r>
      <w:r w:rsidR="00380305">
        <w:t>”</w:t>
      </w:r>
      <w:r>
        <w:t xml:space="preserve">) é uma parte integrante do contrato de licenciamento em volume da Microsoft (o </w:t>
      </w:r>
      <w:r w:rsidR="00380305">
        <w:t>“</w:t>
      </w:r>
      <w:r>
        <w:t>Contrato</w:t>
      </w:r>
      <w:r w:rsidR="00380305">
        <w:t>”</w:t>
      </w:r>
      <w:r>
        <w:t xml:space="preserve">) do Cliente. Os termos em maiúsculas utilizados, mas não definidos, neste SLA terão o significado que lhes foi atribuído no Contrato. Este SLA aplica-se aos Serviços Online da Microsoft listados no presente (um </w:t>
      </w:r>
      <w:r w:rsidR="00380305">
        <w:t>“</w:t>
      </w:r>
      <w:r>
        <w:t>Serviço</w:t>
      </w:r>
      <w:r w:rsidR="00380305">
        <w:t>”</w:t>
      </w:r>
      <w:r>
        <w:t xml:space="preserve"> ou os </w:t>
      </w:r>
      <w:r w:rsidR="00380305">
        <w:t>“</w:t>
      </w:r>
      <w:r>
        <w:t>Serviços</w:t>
      </w:r>
      <w:r w:rsidR="00380305">
        <w:t>”</w:t>
      </w:r>
      <w:r>
        <w:t>), mas não se aplicam a serviços com marca separada disponibilizados ou ligados aos Serviços, ou a qualquer software no local que seja parte de qualquer Serviço.</w:t>
      </w:r>
    </w:p>
    <w:p w14:paraId="3CBD9792" w14:textId="77777777" w:rsidR="00E11454" w:rsidRPr="00EF7CF9" w:rsidRDefault="00E11454" w:rsidP="00F01ED6">
      <w:pPr>
        <w:pStyle w:val="ProductList-Body"/>
        <w:tabs>
          <w:tab w:val="clear" w:pos="360"/>
          <w:tab w:val="clear" w:pos="720"/>
          <w:tab w:val="clear" w:pos="1080"/>
        </w:tabs>
      </w:pPr>
    </w:p>
    <w:p w14:paraId="5FEF6AC3" w14:textId="5B928EFD" w:rsidR="00E11454" w:rsidRDefault="00E11454" w:rsidP="00F01ED6">
      <w:pPr>
        <w:pStyle w:val="ProductList-Body"/>
        <w:tabs>
          <w:tab w:val="clear" w:pos="360"/>
          <w:tab w:val="clear" w:pos="720"/>
          <w:tab w:val="clear" w:pos="1080"/>
        </w:tabs>
        <w:rPr>
          <w:rFonts w:ascii="Calibri" w:hAnsi="Calibri" w:cs="Calibri"/>
        </w:rPr>
      </w:pPr>
      <w:r>
        <w:rPr>
          <w:rFonts w:ascii="Calibri" w:hAnsi="Calibri" w:cs="Calibri"/>
        </w:rPr>
        <w:t xml:space="preserve">Se a Microsoft não atingir e mantiver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atual deste SLA em qualquer altura ao visitar </w:t>
      </w:r>
      <w:hyperlink r:id="rId17" w:history="1">
        <w:r>
          <w:rPr>
            <w:rStyle w:val="Hyperlink"/>
          </w:rPr>
          <w:t>https://aka.ms/CSLA</w:t>
        </w:r>
      </w:hyperlink>
      <w:r>
        <w:rPr>
          <w:rFonts w:ascii="Calibri" w:hAnsi="Calibri" w:cs="Calibri"/>
        </w:rPr>
        <w:t>.</w:t>
      </w:r>
    </w:p>
    <w:p w14:paraId="397D80C5" w14:textId="4193137C" w:rsidR="00DD4A55" w:rsidRDefault="00DD4A55" w:rsidP="00F01ED6">
      <w:pPr>
        <w:pStyle w:val="ProductList-Body"/>
        <w:tabs>
          <w:tab w:val="clear" w:pos="360"/>
          <w:tab w:val="clear" w:pos="720"/>
          <w:tab w:val="clear" w:pos="1080"/>
        </w:tabs>
        <w:rPr>
          <w:rFonts w:ascii="Calibri" w:hAnsi="Calibri" w:cs="Calibri"/>
        </w:rPr>
      </w:pPr>
    </w:p>
    <w:p w14:paraId="727066FE" w14:textId="78F0C8B4" w:rsidR="00DD4A55" w:rsidRPr="00EF7CF9" w:rsidRDefault="00DD4A55" w:rsidP="00F01ED6">
      <w:pPr>
        <w:pStyle w:val="ProductList-Body"/>
        <w:tabs>
          <w:tab w:val="clear" w:pos="360"/>
          <w:tab w:val="clear" w:pos="720"/>
          <w:tab w:val="clear" w:pos="1080"/>
        </w:tabs>
        <w:rPr>
          <w:rFonts w:ascii="Calibri" w:hAnsi="Calibri" w:cs="Calibri"/>
        </w:rPr>
      </w:pPr>
      <w:r>
        <w:rPr>
          <w:rFonts w:ascii="Calibri" w:hAnsi="Calibri" w:cs="Calibri"/>
        </w:rPr>
        <w:t>As Pré-visualizações e os Serviços Online, e/ou os níveis de serviço prestados gratuitamente não estão incluídos nem são elegíveis para créditos ou</w:t>
      </w:r>
      <w:r w:rsidR="004922CC">
        <w:rPr>
          <w:rFonts w:ascii="Calibri" w:hAnsi="Calibri" w:cs="Calibri"/>
        </w:rPr>
        <w:t> </w:t>
      </w:r>
      <w:r>
        <w:rPr>
          <w:rFonts w:ascii="Calibri" w:hAnsi="Calibri" w:cs="Calibri"/>
        </w:rPr>
        <w:t>reclamações relacionadas com o SLA.</w:t>
      </w:r>
    </w:p>
    <w:p w14:paraId="65686147" w14:textId="004AAA72" w:rsidR="008D1A52" w:rsidRPr="00EF7CF9" w:rsidRDefault="008D1A52" w:rsidP="00F01ED6">
      <w:pPr>
        <w:pStyle w:val="ProductList-SubSection1Heading"/>
      </w:pPr>
      <w:bookmarkStart w:id="15" w:name="_Toc457812796"/>
      <w:bookmarkStart w:id="16" w:name="_Toc457821502"/>
      <w:r>
        <w:t>Versões Anteriores do Presente Documento</w:t>
      </w:r>
      <w:bookmarkEnd w:id="15"/>
      <w:bookmarkEnd w:id="16"/>
    </w:p>
    <w:p w14:paraId="69561C1A" w14:textId="2C21BF8F" w:rsidR="0035123C" w:rsidRPr="00EF7CF9" w:rsidRDefault="007804B9" w:rsidP="00F01ED6">
      <w:pPr>
        <w:pStyle w:val="ProductList-Body"/>
        <w:tabs>
          <w:tab w:val="clear" w:pos="360"/>
          <w:tab w:val="clear" w:pos="720"/>
          <w:tab w:val="clear" w:pos="1080"/>
        </w:tabs>
        <w:ind w:right="900"/>
      </w:pPr>
      <w:r>
        <w:t xml:space="preserve">Este SLA fornece informações sobre os Serviços atualmente disponíveis. Estão disponíveis versões anteriores deste documento em </w:t>
      </w:r>
      <w:hyperlink r:id="rId18" w:history="1">
        <w:r>
          <w:rPr>
            <w:rStyle w:val="Hyperlink"/>
          </w:rPr>
          <w:t>http</w:t>
        </w:r>
        <w:r w:rsidRPr="00473DD3">
          <w:rPr>
            <w:rStyle w:val="Hyperlink"/>
          </w:rPr>
          <w:t>:</w:t>
        </w:r>
        <w:r>
          <w:rPr>
            <w:rStyle w:val="Hyperlink"/>
          </w:rPr>
          <w:t>//www.microsoftvolumelicensing.com</w:t>
        </w:r>
      </w:hyperlink>
      <w:r>
        <w:t>. Para encontrar a versão necessária, um cliente poderá contactar o respetivo revendedor ou o Gestor de Conta Microsoft.</w:t>
      </w:r>
    </w:p>
    <w:p w14:paraId="7F05D0EA" w14:textId="6A442A7D" w:rsidR="008D1A52" w:rsidRPr="00EF7CF9" w:rsidRDefault="008D1A52" w:rsidP="00F01ED6">
      <w:pPr>
        <w:pStyle w:val="ProductList-SubSection1Heading"/>
      </w:pPr>
      <w:bookmarkStart w:id="17" w:name="_Toc457812797"/>
      <w:bookmarkStart w:id="18" w:name="_Toc457821503"/>
      <w:r>
        <w:t>Clarificações e Resumo de Alterações a este Documento</w:t>
      </w:r>
      <w:bookmarkEnd w:id="17"/>
      <w:bookmarkEnd w:id="18"/>
    </w:p>
    <w:p w14:paraId="2487F2A9" w14:textId="2A379FE0" w:rsidR="0035123C" w:rsidRPr="00EF7CF9" w:rsidRDefault="0035123C" w:rsidP="00F01ED6">
      <w:pPr>
        <w:pStyle w:val="ProductList-Body"/>
        <w:tabs>
          <w:tab w:val="clear" w:pos="360"/>
          <w:tab w:val="clear" w:pos="720"/>
          <w:tab w:val="clear" w:pos="1080"/>
        </w:tabs>
      </w:pPr>
      <w:r>
        <w:t>Abaixo encontram-se as adições, eliminações e outras alterações recentes a este SLA. Além disso, encontram-se listadas abaixo as clarificações da</w:t>
      </w:r>
      <w:r w:rsidR="00B3758F">
        <w:t> </w:t>
      </w:r>
      <w:r>
        <w:t>política da Microsoft em resposta às questões comuns dos clientes.</w:t>
      </w:r>
    </w:p>
    <w:p w14:paraId="0E7501E2" w14:textId="6DDC6277" w:rsidR="0035123C" w:rsidRDefault="0035123C" w:rsidP="00F01ED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215"/>
        <w:gridCol w:w="5575"/>
      </w:tblGrid>
      <w:tr w:rsidR="00CC3273" w:rsidRPr="00571855" w14:paraId="740EEFFB" w14:textId="77777777" w:rsidTr="00315F59">
        <w:trPr>
          <w:tblHeader/>
        </w:trPr>
        <w:tc>
          <w:tcPr>
            <w:tcW w:w="5215" w:type="dxa"/>
            <w:shd w:val="clear" w:color="auto" w:fill="0072C6"/>
          </w:tcPr>
          <w:p w14:paraId="4BA49666" w14:textId="3EA722ED" w:rsidR="00CC3273" w:rsidRPr="006D4DC5" w:rsidRDefault="00CC3273" w:rsidP="00F01ED6">
            <w:pPr>
              <w:pStyle w:val="ProductList-OfferingBody"/>
            </w:pPr>
            <w:r>
              <w:rPr>
                <w:color w:val="FFFFFF" w:themeColor="background1"/>
              </w:rPr>
              <w:t>Aditamentos/Atualizações</w:t>
            </w:r>
          </w:p>
        </w:tc>
        <w:tc>
          <w:tcPr>
            <w:tcW w:w="5575" w:type="dxa"/>
            <w:shd w:val="clear" w:color="auto" w:fill="0072C6"/>
          </w:tcPr>
          <w:p w14:paraId="042AABD6" w14:textId="77777777" w:rsidR="00CC3273" w:rsidRPr="006D4DC5" w:rsidRDefault="00CC3273" w:rsidP="00F01ED6">
            <w:pPr>
              <w:pStyle w:val="ProductList-OfferingBody"/>
            </w:pPr>
            <w:r>
              <w:rPr>
                <w:color w:val="FFFFFF" w:themeColor="background1"/>
              </w:rPr>
              <w:t>Eliminações</w:t>
            </w:r>
          </w:p>
        </w:tc>
      </w:tr>
      <w:tr w:rsidR="00D055FF" w:rsidRPr="003650D0" w14:paraId="63D55A0B" w14:textId="77777777" w:rsidTr="00315F59">
        <w:trPr>
          <w:tblHeader/>
        </w:trPr>
        <w:tc>
          <w:tcPr>
            <w:tcW w:w="5215" w:type="dxa"/>
            <w:shd w:val="clear" w:color="auto" w:fill="auto"/>
          </w:tcPr>
          <w:p w14:paraId="64D34EE7" w14:textId="53A16E63" w:rsidR="00D055FF" w:rsidRDefault="00D055FF" w:rsidP="00D055FF">
            <w:pPr>
              <w:pStyle w:val="ProductList-OfferingBody"/>
              <w:rPr>
                <w:rFonts w:ascii="Calibri" w:hAnsi="Calibri" w:cs="Calibri"/>
                <w:color w:val="000000" w:themeColor="text1"/>
              </w:rPr>
            </w:pPr>
            <w:r>
              <w:rPr>
                <w:rFonts w:ascii="Calibri" w:hAnsi="Calibri" w:cs="Calibri"/>
                <w:color w:val="000000" w:themeColor="text1"/>
                <w:szCs w:val="16"/>
              </w:rPr>
              <w:t>Exchange Online</w:t>
            </w:r>
          </w:p>
        </w:tc>
        <w:tc>
          <w:tcPr>
            <w:tcW w:w="5575" w:type="dxa"/>
            <w:shd w:val="clear" w:color="auto" w:fill="auto"/>
          </w:tcPr>
          <w:p w14:paraId="1986CF8F" w14:textId="77777777" w:rsidR="00D055FF" w:rsidRPr="00771E0B" w:rsidRDefault="00D055FF" w:rsidP="00D055FF">
            <w:pPr>
              <w:pStyle w:val="ProductList-Body"/>
            </w:pPr>
          </w:p>
        </w:tc>
      </w:tr>
      <w:tr w:rsidR="00D055FF" w:rsidRPr="003650D0" w14:paraId="7544EBA5" w14:textId="77777777" w:rsidTr="00315F59">
        <w:trPr>
          <w:tblHeader/>
        </w:trPr>
        <w:tc>
          <w:tcPr>
            <w:tcW w:w="5215" w:type="dxa"/>
            <w:shd w:val="clear" w:color="auto" w:fill="auto"/>
          </w:tcPr>
          <w:p w14:paraId="2C89C8D2" w14:textId="797D2944" w:rsidR="00D055FF" w:rsidRDefault="00D055FF" w:rsidP="00D055FF">
            <w:pPr>
              <w:pStyle w:val="ProductList-OfferingBody"/>
              <w:rPr>
                <w:rFonts w:ascii="Calibri" w:hAnsi="Calibri" w:cs="Calibri"/>
                <w:color w:val="000000" w:themeColor="text1"/>
              </w:rPr>
            </w:pPr>
            <w:r>
              <w:rPr>
                <w:rFonts w:ascii="Calibri" w:hAnsi="Calibri" w:cs="Calibri"/>
                <w:color w:val="000000" w:themeColor="text1"/>
                <w:szCs w:val="16"/>
              </w:rPr>
              <w:t>Funções do Azure (incorporação do Consumo Flexível)</w:t>
            </w:r>
          </w:p>
        </w:tc>
        <w:tc>
          <w:tcPr>
            <w:tcW w:w="5575" w:type="dxa"/>
            <w:shd w:val="clear" w:color="auto" w:fill="auto"/>
          </w:tcPr>
          <w:p w14:paraId="3CE9ED64" w14:textId="77777777" w:rsidR="00D055FF" w:rsidRPr="00771E0B" w:rsidRDefault="00D055FF" w:rsidP="00D055FF">
            <w:pPr>
              <w:pStyle w:val="ProductList-Body"/>
            </w:pPr>
          </w:p>
        </w:tc>
      </w:tr>
      <w:tr w:rsidR="00D055FF" w:rsidRPr="003650D0" w14:paraId="6E8AD294" w14:textId="77777777" w:rsidTr="00315F59">
        <w:trPr>
          <w:tblHeader/>
        </w:trPr>
        <w:tc>
          <w:tcPr>
            <w:tcW w:w="5215" w:type="dxa"/>
            <w:shd w:val="clear" w:color="auto" w:fill="auto"/>
          </w:tcPr>
          <w:p w14:paraId="7A1347F6" w14:textId="51A50053" w:rsidR="00D055FF" w:rsidRPr="00C730A5" w:rsidRDefault="00D055FF" w:rsidP="00D055FF">
            <w:pPr>
              <w:pStyle w:val="ProductList-OfferingBody"/>
              <w:rPr>
                <w:rFonts w:ascii="Calibri" w:hAnsi="Calibri" w:cs="Calibri"/>
                <w:color w:val="000000" w:themeColor="text1"/>
                <w:szCs w:val="16"/>
              </w:rPr>
            </w:pPr>
            <w:r>
              <w:rPr>
                <w:rFonts w:ascii="Calibri" w:hAnsi="Calibri" w:cs="Calibri"/>
                <w:color w:val="000000" w:themeColor="text1"/>
                <w:szCs w:val="16"/>
              </w:rPr>
              <w:t>Azure OpenAI Service</w:t>
            </w:r>
          </w:p>
        </w:tc>
        <w:tc>
          <w:tcPr>
            <w:tcW w:w="5575" w:type="dxa"/>
            <w:shd w:val="clear" w:color="auto" w:fill="auto"/>
          </w:tcPr>
          <w:p w14:paraId="50BC9AC8" w14:textId="77777777" w:rsidR="00D055FF" w:rsidRPr="00771E0B" w:rsidRDefault="00D055FF" w:rsidP="00D055FF">
            <w:pPr>
              <w:pStyle w:val="ProductList-Body"/>
            </w:pPr>
          </w:p>
        </w:tc>
      </w:tr>
    </w:tbl>
    <w:p w14:paraId="473EB6D2" w14:textId="5E1B500E" w:rsidR="00654656"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8C666F" w14:textId="56DC3877" w:rsidR="008E6785" w:rsidRPr="00B44CF9" w:rsidRDefault="008E6785" w:rsidP="00F01ED6">
      <w:pPr>
        <w:spacing w:line="240" w:lineRule="auto"/>
        <w:rPr>
          <w:sz w:val="18"/>
          <w:szCs w:val="18"/>
        </w:rPr>
      </w:pPr>
    </w:p>
    <w:p w14:paraId="596F13CE" w14:textId="77777777" w:rsidR="00654656" w:rsidRPr="00B44CF9" w:rsidRDefault="00654656" w:rsidP="00F01ED6">
      <w:pPr>
        <w:spacing w:line="240" w:lineRule="auto"/>
        <w:rPr>
          <w:sz w:val="18"/>
          <w:szCs w:val="18"/>
        </w:rPr>
        <w:sectPr w:rsidR="00654656" w:rsidRPr="00B44CF9" w:rsidSect="008B1CA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F01ED6">
      <w:pPr>
        <w:pStyle w:val="ProductList-SectionHeading"/>
        <w:tabs>
          <w:tab w:val="clear" w:pos="360"/>
          <w:tab w:val="clear" w:pos="720"/>
          <w:tab w:val="clear" w:pos="1080"/>
        </w:tabs>
        <w:outlineLvl w:val="0"/>
      </w:pPr>
      <w:bookmarkStart w:id="19" w:name="_Toc457821504"/>
      <w:bookmarkStart w:id="20" w:name="_Toc182409575"/>
      <w:bookmarkStart w:id="21" w:name="GeneralTerms"/>
      <w:bookmarkStart w:id="22" w:name="TermosGerais"/>
      <w:r>
        <w:t>Termos Gerais</w:t>
      </w:r>
      <w:bookmarkEnd w:id="19"/>
      <w:bookmarkEnd w:id="20"/>
    </w:p>
    <w:p w14:paraId="0BDF752D" w14:textId="6CEE0237" w:rsidR="00045C64" w:rsidRPr="00EF7CF9" w:rsidRDefault="00E11454" w:rsidP="00F01ED6">
      <w:pPr>
        <w:pStyle w:val="ProductList-SubSection1Heading"/>
      </w:pPr>
      <w:bookmarkStart w:id="23" w:name="_Toc454884885"/>
      <w:bookmarkStart w:id="24" w:name="_Toc457812799"/>
      <w:bookmarkStart w:id="25" w:name="_Toc455748582"/>
      <w:bookmarkStart w:id="26" w:name="_Toc457821505"/>
      <w:bookmarkStart w:id="27" w:name="Definições"/>
      <w:bookmarkStart w:id="28" w:name="Definitions"/>
      <w:bookmarkEnd w:id="21"/>
      <w:bookmarkEnd w:id="22"/>
      <w:r>
        <w:t>Definições</w:t>
      </w:r>
      <w:bookmarkEnd w:id="23"/>
      <w:bookmarkEnd w:id="24"/>
      <w:bookmarkEnd w:id="25"/>
      <w:bookmarkEnd w:id="26"/>
      <w:bookmarkEnd w:id="27"/>
    </w:p>
    <w:bookmarkEnd w:id="28"/>
    <w:p w14:paraId="1AED6207"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Período Aplicável</w:t>
      </w:r>
      <w:r>
        <w:rPr>
          <w:rFonts w:ascii="Calibri" w:hAnsi="Calibri" w:cs="Calibri"/>
        </w:rPr>
        <w:t xml:space="preserve">” para os Serviços Pay As You Go com tráfego limitado (por exemplo, Máquinas Virtuais do Azure) designa os 30 dias anteriores ao primeiro dia do Incidente, inclusive, para o qual é devido um Crédito de Serviço. Para os outros serviços, (por exemplo, M365 E3) “Período Aplicável” designa o mês de calendário em que um Crédito de Serviço é devido. </w:t>
      </w:r>
    </w:p>
    <w:p w14:paraId="1FD67944"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Honorários dos Serviços Aplicáveis</w:t>
      </w:r>
      <w:r>
        <w:rPr>
          <w:rFonts w:ascii="Calibri" w:hAnsi="Calibri" w:cs="Calibri"/>
        </w:rPr>
        <w:t>”</w:t>
      </w:r>
      <w:r>
        <w:rPr>
          <w:rFonts w:ascii="Calibri" w:hAnsi="Calibri" w:cs="Calibri"/>
          <w:color w:val="000000" w:themeColor="text1"/>
        </w:rPr>
        <w:t xml:space="preserve"> designa o total dos honorários efetivamente pagos pelo Cliente por um Serviço que é aplicado ao Período Aplicável em que um Crédito de Serviço é devido.</w:t>
      </w:r>
    </w:p>
    <w:p w14:paraId="01F6ED90" w14:textId="77777777" w:rsidR="002866CF" w:rsidRPr="00A43C44" w:rsidRDefault="002866CF" w:rsidP="002866CF">
      <w:pPr>
        <w:pStyle w:val="ProductList-Body"/>
        <w:spacing w:after="40"/>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é definido para cada Serviço nos Termos Específicos dos Serviços abaixo. O Período de Indisponibilidade não inclui o Período de Indisponibilidade Agendado. O Período de Indisponibilidade não inclui a indisponibilidade de um Serviço devido às limitações descritas abaixo e nos Termos Específicos dos Serviços.</w:t>
      </w:r>
    </w:p>
    <w:p w14:paraId="1CAAF07A" w14:textId="7A450D75" w:rsidR="001D1C2C" w:rsidRPr="00EF7CF9" w:rsidRDefault="00380305" w:rsidP="00F01ED6">
      <w:pPr>
        <w:pStyle w:val="ProductList-Body"/>
        <w:spacing w:after="40"/>
      </w:pPr>
      <w:r>
        <w:t>“</w:t>
      </w:r>
      <w:r w:rsidR="00EF7CF9">
        <w:rPr>
          <w:b/>
          <w:color w:val="00188F"/>
        </w:rPr>
        <w:t>Código de Erro</w:t>
      </w:r>
      <w:r>
        <w:t>”</w:t>
      </w:r>
      <w:r w:rsidR="00EF7CF9">
        <w:t xml:space="preserve"> designa uma indicação que uma operação falhou, tal como um código de estado HTTP no intervalo 5xx.</w:t>
      </w:r>
    </w:p>
    <w:p w14:paraId="64D84186" w14:textId="73DB5FCE" w:rsidR="001D1C2C" w:rsidRPr="00EF7CF9" w:rsidRDefault="00380305" w:rsidP="00F01ED6">
      <w:pPr>
        <w:pStyle w:val="ProductList-Body"/>
        <w:spacing w:after="40"/>
        <w:rPr>
          <w:color w:val="000000" w:themeColor="text1"/>
        </w:rPr>
      </w:pPr>
      <w:r>
        <w:t>“</w:t>
      </w:r>
      <w:r w:rsidR="00EF7CF9">
        <w:rPr>
          <w:b/>
          <w:color w:val="00188F"/>
        </w:rPr>
        <w:t>Conectividade Externa</w:t>
      </w:r>
      <w:r>
        <w:t>”</w:t>
      </w:r>
      <w:r w:rsidR="00EF7CF9">
        <w:t xml:space="preserve"> é o tráfego de rede bidirecional por protocolos suportados, como HTTP e HTTPS, que podem ser enviados e recebidos de</w:t>
      </w:r>
      <w:r w:rsidR="00D9073A">
        <w:t> </w:t>
      </w:r>
      <w:r w:rsidR="00EF7CF9">
        <w:t>um endereço IP público.</w:t>
      </w:r>
    </w:p>
    <w:p w14:paraId="57569D47" w14:textId="1441EB2D" w:rsidR="001D1C2C" w:rsidRPr="00EF7CF9" w:rsidRDefault="00380305" w:rsidP="00F01ED6">
      <w:pPr>
        <w:pStyle w:val="ProductList-Body"/>
        <w:spacing w:after="40"/>
        <w:rPr>
          <w:color w:val="000000" w:themeColor="text1"/>
        </w:rPr>
      </w:pPr>
      <w:r>
        <w:t>“</w:t>
      </w:r>
      <w:r w:rsidR="00EF7CF9">
        <w:rPr>
          <w:b/>
          <w:color w:val="00188F"/>
        </w:rPr>
        <w:t>Incidente</w:t>
      </w:r>
      <w:r>
        <w:t>”</w:t>
      </w:r>
      <w:r w:rsidR="00EF7CF9">
        <w:rPr>
          <w:color w:val="000000" w:themeColor="text1"/>
        </w:rPr>
        <w:t xml:space="preserve"> designa (i) qualquer evento único ou (ii) qualquer conjunto de eventos que resultem num Período de Indisponibilidade.</w:t>
      </w:r>
    </w:p>
    <w:p w14:paraId="30DC8057" w14:textId="69930B5A" w:rsidR="001D1C2C" w:rsidRPr="00EF7CF9" w:rsidRDefault="00380305" w:rsidP="00F01ED6">
      <w:pPr>
        <w:pStyle w:val="ProductList-Body"/>
        <w:spacing w:after="40"/>
      </w:pPr>
      <w:r>
        <w:t>“</w:t>
      </w:r>
      <w:r w:rsidR="00EF7CF9">
        <w:rPr>
          <w:b/>
          <w:color w:val="00188F"/>
        </w:rPr>
        <w:t>Portal de Gestão</w:t>
      </w:r>
      <w:r>
        <w:t>”</w:t>
      </w:r>
      <w:r w:rsidR="00EF7CF9">
        <w:t xml:space="preserve"> designa a interface Web, fornecida pela Microsoft, através da qual os clientes podem gerir o Serviço.</w:t>
      </w:r>
    </w:p>
    <w:p w14:paraId="16345164" w14:textId="20FDAD92" w:rsidR="001D1C2C" w:rsidRPr="001D4B6B" w:rsidRDefault="00380305" w:rsidP="00F01ED6">
      <w:pPr>
        <w:pStyle w:val="ProductList-Body"/>
        <w:spacing w:after="40"/>
        <w:rPr>
          <w:color w:val="000000" w:themeColor="text1"/>
        </w:rPr>
      </w:pPr>
      <w:r>
        <w:t>“</w:t>
      </w:r>
      <w:r w:rsidR="00EF7CF9" w:rsidRPr="001D4B6B">
        <w:rPr>
          <w:b/>
          <w:color w:val="00188F"/>
        </w:rPr>
        <w:t>Período de Indisponibilidade Agendado</w:t>
      </w:r>
      <w:r>
        <w:t>”</w:t>
      </w:r>
      <w:r w:rsidR="00EF7CF9" w:rsidRPr="001D4B6B">
        <w:rPr>
          <w:color w:val="000000" w:themeColor="text1"/>
        </w:rPr>
        <w:t xml:space="preserve"> designa os Períodos de Indisponibilidade relacionados com a manutenção ou as atualizações da rede, do</w:t>
      </w:r>
      <w:r w:rsidR="00A345F5">
        <w:rPr>
          <w:color w:val="000000" w:themeColor="text1"/>
        </w:rPr>
        <w:t> </w:t>
      </w:r>
      <w:r w:rsidR="00EF7CF9" w:rsidRPr="001D4B6B">
        <w:rPr>
          <w:color w:val="000000" w:themeColor="text1"/>
        </w:rPr>
        <w:t>hardware ou do Serviço. A Microsoft publicará uma notificação ou notificará o Cliente pelo menos cinco (5) dias antes do início desse Período de</w:t>
      </w:r>
      <w:r w:rsidR="00A345F5">
        <w:rPr>
          <w:color w:val="000000" w:themeColor="text1"/>
        </w:rPr>
        <w:t> </w:t>
      </w:r>
      <w:r w:rsidR="00EF7CF9" w:rsidRPr="001D4B6B">
        <w:rPr>
          <w:color w:val="000000" w:themeColor="text1"/>
        </w:rPr>
        <w:t>Indisponibilidade.</w:t>
      </w:r>
    </w:p>
    <w:p w14:paraId="70231D40" w14:textId="73E5AE46" w:rsidR="001D1C2C" w:rsidRPr="00EF7CF9" w:rsidRDefault="00380305" w:rsidP="00F01ED6">
      <w:pPr>
        <w:pStyle w:val="ProductList-Body"/>
        <w:spacing w:after="40"/>
        <w:rPr>
          <w:color w:val="000000" w:themeColor="text1"/>
        </w:rPr>
      </w:pPr>
      <w:r>
        <w:t>“</w:t>
      </w:r>
      <w:r w:rsidR="00EF7CF9">
        <w:rPr>
          <w:b/>
          <w:color w:val="00188F"/>
        </w:rPr>
        <w:t>Crédito de Serviço</w:t>
      </w:r>
      <w:r>
        <w:t>”</w:t>
      </w:r>
      <w:r w:rsidR="00EF7CF9">
        <w:rPr>
          <w:color w:val="000000" w:themeColor="text1"/>
        </w:rPr>
        <w:t xml:space="preserve"> designa a percentagem dos Honorários dos Serviços Aplicáveis creditados ao Cliente na sequência da aprovação da reclamação da Microsoft.</w:t>
      </w:r>
    </w:p>
    <w:p w14:paraId="0E261BBC" w14:textId="3894D837" w:rsidR="001D1C2C" w:rsidRPr="00EF7CF9" w:rsidRDefault="00380305" w:rsidP="00F01ED6">
      <w:pPr>
        <w:pStyle w:val="ProductList-Body"/>
        <w:spacing w:after="40"/>
        <w:rPr>
          <w:color w:val="000000" w:themeColor="text1"/>
        </w:rPr>
      </w:pPr>
      <w:r>
        <w:t>“</w:t>
      </w:r>
      <w:r w:rsidR="00EF7CF9">
        <w:rPr>
          <w:b/>
          <w:color w:val="00188F"/>
        </w:rPr>
        <w:t>Nível de Serviço</w:t>
      </w:r>
      <w:r>
        <w:t>”</w:t>
      </w:r>
      <w:r w:rsidR="00EF7CF9">
        <w:rPr>
          <w:color w:val="000000" w:themeColor="text1"/>
        </w:rPr>
        <w:t xml:space="preserve"> designa as métricas de desempenho estabelecidas neste SLA que a Microsoft aceita cumprir na prestação dos Serviços.</w:t>
      </w:r>
    </w:p>
    <w:p w14:paraId="6702BBF5" w14:textId="2FE43712" w:rsidR="001D1C2C" w:rsidRPr="00EF7CF9" w:rsidRDefault="00380305" w:rsidP="00F01ED6">
      <w:pPr>
        <w:pStyle w:val="ProductList-Body"/>
        <w:spacing w:after="40"/>
      </w:pPr>
      <w:r>
        <w:t>“</w:t>
      </w:r>
      <w:r w:rsidR="00EF7CF9">
        <w:rPr>
          <w:b/>
          <w:color w:val="00188F"/>
        </w:rPr>
        <w:t>Recurso de Serviço</w:t>
      </w:r>
      <w:r>
        <w:t>”</w:t>
      </w:r>
      <w:r w:rsidR="00EF7CF9">
        <w:t xml:space="preserve"> designa um recurso individual disponível para utilização num Serviço.</w:t>
      </w:r>
    </w:p>
    <w:p w14:paraId="6EF19CD6" w14:textId="469CFBF1" w:rsidR="001D1C2C" w:rsidRPr="00EF7CF9" w:rsidRDefault="00380305" w:rsidP="00F01ED6">
      <w:pPr>
        <w:pStyle w:val="ProductList-Body"/>
        <w:spacing w:after="40"/>
      </w:pPr>
      <w:r>
        <w:t>“</w:t>
      </w:r>
      <w:r w:rsidR="00EF7CF9">
        <w:rPr>
          <w:b/>
          <w:color w:val="00188F"/>
        </w:rPr>
        <w:t>Código de Êxito</w:t>
      </w:r>
      <w:r>
        <w:t>”</w:t>
      </w:r>
      <w:r w:rsidR="00EF7CF9">
        <w:t xml:space="preserve"> indica que uma operação foi concluída com êxito, tal como um código de estado HTTP no intervalo 2xx.</w:t>
      </w:r>
    </w:p>
    <w:p w14:paraId="461AC117" w14:textId="6001B30E" w:rsidR="001D1C2C" w:rsidRPr="00EF7CF9" w:rsidRDefault="00380305" w:rsidP="00F01ED6">
      <w:pPr>
        <w:pStyle w:val="ProductList-Body"/>
        <w:spacing w:after="40"/>
        <w:rPr>
          <w:color w:val="000000" w:themeColor="text1"/>
        </w:rPr>
      </w:pPr>
      <w:r>
        <w:t>“</w:t>
      </w:r>
      <w:r w:rsidR="00EF7CF9">
        <w:rPr>
          <w:b/>
          <w:color w:val="00188F"/>
        </w:rPr>
        <w:t>Intervalo de Suporte</w:t>
      </w:r>
      <w:r>
        <w:t>”</w:t>
      </w:r>
      <w:r w:rsidR="00EF7CF9">
        <w:t xml:space="preserve"> designa o período de tempo durante o qual uma funcionalidade de Serviço, ou a compatibilidade com um produto ou serviço separado é suportada.</w:t>
      </w:r>
    </w:p>
    <w:p w14:paraId="0B6E793C" w14:textId="60122DC3" w:rsidR="001D1C2C" w:rsidRPr="00EF7CF9" w:rsidRDefault="00380305" w:rsidP="00F01ED6">
      <w:pPr>
        <w:pStyle w:val="ProductList-Body"/>
        <w:spacing w:after="40"/>
        <w:rPr>
          <w:color w:val="000000" w:themeColor="text1"/>
        </w:rPr>
      </w:pPr>
      <w:r>
        <w:t>“</w:t>
      </w:r>
      <w:r w:rsidR="00EF7CF9">
        <w:rPr>
          <w:b/>
          <w:color w:val="00188F"/>
        </w:rPr>
        <w:t xml:space="preserve">Minutos de </w:t>
      </w:r>
      <w:r w:rsidR="00EF7CF9" w:rsidRPr="009D6328">
        <w:rPr>
          <w:b/>
          <w:color w:val="00188F"/>
        </w:rPr>
        <w:t>Utilizador</w:t>
      </w:r>
      <w:r>
        <w:t>”</w:t>
      </w:r>
      <w:r w:rsidR="00EF7CF9">
        <w:rPr>
          <w:color w:val="000000" w:themeColor="text1"/>
        </w:rPr>
        <w:t xml:space="preserve"> designa o número total de minutos num Período Aplicável, menos todo o Período de Indisponibilidade Agendado, multiplicado pelo número total de utilizadores.</w:t>
      </w:r>
    </w:p>
    <w:p w14:paraId="637752EC" w14:textId="23513F1A" w:rsidR="001D1C2C" w:rsidRPr="00EF7CF9" w:rsidRDefault="001D1C2C" w:rsidP="00F01ED6">
      <w:pPr>
        <w:pStyle w:val="ProductList-SubSection1Heading"/>
      </w:pPr>
      <w:bookmarkStart w:id="29" w:name="_Toc454884886"/>
      <w:bookmarkStart w:id="30" w:name="_Toc457812800"/>
      <w:bookmarkStart w:id="31" w:name="_Toc455748583"/>
      <w:bookmarkStart w:id="32" w:name="_Toc457821506"/>
      <w:bookmarkStart w:id="33" w:name="Terms"/>
      <w:r>
        <w:t>Termos</w:t>
      </w:r>
      <w:bookmarkEnd w:id="29"/>
      <w:bookmarkEnd w:id="30"/>
      <w:bookmarkEnd w:id="31"/>
      <w:bookmarkEnd w:id="32"/>
    </w:p>
    <w:bookmarkEnd w:id="33"/>
    <w:p w14:paraId="7371D222" w14:textId="77777777" w:rsidR="001D1C2C" w:rsidRPr="00EF7CF9" w:rsidRDefault="001D1C2C" w:rsidP="00F01ED6">
      <w:pPr>
        <w:pStyle w:val="ProductList-ClauseHeading"/>
        <w:outlineLvl w:val="2"/>
      </w:pPr>
      <w:r>
        <w:t>Reclamações</w:t>
      </w:r>
    </w:p>
    <w:p w14:paraId="41C9C78B" w14:textId="77777777" w:rsidR="007B44F9" w:rsidRPr="00CC7A65" w:rsidRDefault="007B44F9" w:rsidP="007B44F9">
      <w:pPr>
        <w:pStyle w:val="ProductList-Body"/>
        <w:rPr>
          <w:rFonts w:ascii="Calibri" w:hAnsi="Calibri" w:cs="Calibri"/>
        </w:rPr>
      </w:pPr>
      <w:r>
        <w:rPr>
          <w:rFonts w:ascii="Calibri" w:hAnsi="Calibri" w:cs="Calibri"/>
        </w:rPr>
        <w:t xml:space="preserve">Para que a Microsoft considere uma reclamação, o Cliente tem de submeter a reclamação ao suporte ao cliente da Microsoft Corporation, incluindo todas as informações necessárias para que a Microsoft valide a reclamação, incluindo mas não se limitando a: (i) uma descrição detalhada do Incidente; (ii) informações relativas ao tempo e à duração período de indisponibilidade; (iii) nomes de recursos afetados; (iv) o número e as localizações dos utilizadores afetados; e (v) uma descrição dos erros ocorridos durante o incidente. A não apresentação das informações exigidas implicará a rejeição do pedido. Para obter orientação detalhada sobre a monitorização e o registo do Azure, consulte o artigo Consultas analíticas de registo do Azure Monitor por tabelas ou quaisquer artigos sucessores no Microsoft Learn. Este recurso fornece os dados e as informações essenciais necessários para as reclamações do Azure. </w:t>
      </w:r>
    </w:p>
    <w:p w14:paraId="74F9077E" w14:textId="77777777" w:rsidR="007B44F9" w:rsidRPr="00CC7A65" w:rsidRDefault="007B44F9" w:rsidP="007B44F9">
      <w:pPr>
        <w:pStyle w:val="ProductList-Body"/>
        <w:rPr>
          <w:rFonts w:ascii="Calibri" w:hAnsi="Calibri" w:cs="Calibri"/>
        </w:rPr>
      </w:pPr>
    </w:p>
    <w:p w14:paraId="10A1717A" w14:textId="77777777" w:rsidR="007B44F9" w:rsidRPr="00CC7A65" w:rsidRDefault="007B44F9" w:rsidP="007B44F9">
      <w:pPr>
        <w:pStyle w:val="ProductList-Body"/>
        <w:rPr>
          <w:rFonts w:ascii="Calibri" w:hAnsi="Calibri" w:cs="Calibri"/>
        </w:rPr>
      </w:pPr>
      <w:r>
        <w:rPr>
          <w:rFonts w:ascii="Calibri" w:hAnsi="Calibri" w:cs="Calibri"/>
        </w:rPr>
        <w:t>Para uma reclamação relacionada com o Microsoft Azure, temos de receber a reclamação no prazo de 60 dias após o Incidente. Para as reclamações relacionadas com todos os outros Serviços, a Microsoft deve receber a reclamação até ao fim do Período Aplicável a seguir ao mês em que o Incidente ocorreu. Por exemplo, se o Incidente tiver ocorrido a 15 de fevereiro, a Microsoft deve receber a reclamação e todas as informações necessárias até 31 de março.</w:t>
      </w:r>
    </w:p>
    <w:p w14:paraId="1C8AFCCF" w14:textId="77777777" w:rsidR="007B44F9" w:rsidRPr="00CC7A65" w:rsidRDefault="007B44F9" w:rsidP="007B44F9">
      <w:pPr>
        <w:pStyle w:val="ProductList-Body"/>
        <w:rPr>
          <w:rFonts w:ascii="Calibri" w:hAnsi="Calibri" w:cs="Calibri"/>
        </w:rPr>
      </w:pPr>
    </w:p>
    <w:p w14:paraId="1B11607A" w14:textId="77777777" w:rsidR="007B44F9" w:rsidRPr="00CC7A65" w:rsidRDefault="007B44F9" w:rsidP="007B44F9">
      <w:pPr>
        <w:pStyle w:val="ProductList-Body"/>
        <w:rPr>
          <w:rFonts w:ascii="Calibri" w:hAnsi="Calibri" w:cs="Calibri"/>
        </w:rPr>
      </w:pPr>
      <w:r>
        <w:rPr>
          <w:rFonts w:ascii="Calibri" w:hAnsi="Calibri" w:cs="Calibri"/>
        </w:rPr>
        <w:t>A Microsoft avaliará todas as informações que foram disponibilizadas de forma razoável e tomará a decisão de boa fé sobre se um Crédito de Serviço é devido. Envidaremos os esforços comercialmente razoáveis para processar as reclamações imediatamente após uma investigação, normalmente no prazo de quarenta e cinco (45) dias após a receção da reclamação. O Cliente tem de estar em conformidade com o Contrato para poder ser considerado elegível para receber um Crédito de Serviço. Se a Microsoft determinar que é devido um Crédito de Serviço ao Cliente, a Microsoft aplicará o Crédito de Serviço aos Honorários dos Serviços Aplicáveis do Cliente.</w:t>
      </w:r>
    </w:p>
    <w:p w14:paraId="58E2268D" w14:textId="77777777" w:rsidR="001D1C2C" w:rsidRPr="00EF7CF9" w:rsidRDefault="001D1C2C" w:rsidP="00F01ED6">
      <w:pPr>
        <w:pStyle w:val="ProductList-Body"/>
      </w:pPr>
    </w:p>
    <w:p w14:paraId="76EDD054" w14:textId="1386F9A8" w:rsidR="001D1C2C" w:rsidRPr="001D4B6B" w:rsidRDefault="001D1C2C" w:rsidP="00F01ED6">
      <w:pPr>
        <w:pStyle w:val="ProductList-Body"/>
        <w:rPr>
          <w:spacing w:val="-2"/>
        </w:rPr>
      </w:pPr>
      <w:r w:rsidRPr="001D4B6B">
        <w:rPr>
          <w:spacing w:val="-2"/>
        </w:rPr>
        <w:t>Se o Cliente tiver adquirido mais do que um Serviço listado (não como um conjunto de aplicações), poderá submeter reclamações em conformidade com o processo acima descrito, como se cada Serviço fosse abrangido por um SLA individual. Por exemplo, se o Cliente tiver adquirido o Exchange Online e SharePoint Online (sem fazerem parte de um conjunto) e durante a vigência da subscrição um Incidente tiver causado o Período de Indisponibilidade de ambos os Serviços, nesse caso o Cliente poderá ser elegível para dois Créditos de Serviço separados (um para cada Serviço), ao</w:t>
      </w:r>
      <w:r w:rsidR="00F30FB3">
        <w:rPr>
          <w:spacing w:val="-2"/>
        </w:rPr>
        <w:t> </w:t>
      </w:r>
      <w:r w:rsidRPr="001D4B6B">
        <w:rPr>
          <w:spacing w:val="-2"/>
        </w:rPr>
        <w:t>submeter duas queixas ao abrigo deste SLA. Caso não sejam cumpridos dois ou mais Níveis de Serviço para um determinado Serviço devido ao mesmo Incidente, o Cliente deve escolher apenas um Nível de Serviço ao abrigo do qual uma reclamação pode ser feita com base no Incidente. Salvo</w:t>
      </w:r>
      <w:r w:rsidR="00F30FB3">
        <w:rPr>
          <w:spacing w:val="-2"/>
        </w:rPr>
        <w:t> </w:t>
      </w:r>
      <w:r w:rsidRPr="001D4B6B">
        <w:rPr>
          <w:spacing w:val="-2"/>
        </w:rPr>
        <w:t>disposição expressa em contrário no SLA específico, só é permitido um Crédito de Serviço por Serviço para um Período Aplicável.</w:t>
      </w:r>
    </w:p>
    <w:p w14:paraId="48EACB70" w14:textId="77777777" w:rsidR="001D1C2C" w:rsidRPr="00EF7CF9" w:rsidRDefault="001D1C2C" w:rsidP="00F01ED6">
      <w:pPr>
        <w:pStyle w:val="ProductList-Body"/>
      </w:pPr>
    </w:p>
    <w:p w14:paraId="1C5E0FF1" w14:textId="77777777" w:rsidR="001D1C2C" w:rsidRPr="00EF7CF9" w:rsidRDefault="001D1C2C" w:rsidP="00F01ED6">
      <w:pPr>
        <w:pStyle w:val="ProductList-ClauseHeading"/>
        <w:outlineLvl w:val="2"/>
      </w:pPr>
      <w:r>
        <w:t>Créditos de Serviço</w:t>
      </w:r>
    </w:p>
    <w:p w14:paraId="1FE33722" w14:textId="77777777" w:rsidR="000D2AE0" w:rsidRPr="002A0A04" w:rsidRDefault="000D2AE0" w:rsidP="000D2AE0">
      <w:pPr>
        <w:pStyle w:val="ProductList-Body"/>
        <w:rPr>
          <w:rFonts w:ascii="Calibri" w:hAnsi="Calibri" w:cs="Calibri"/>
        </w:rPr>
      </w:pPr>
      <w:r>
        <w:rPr>
          <w:rFonts w:ascii="Calibri" w:hAnsi="Calibri" w:cs="Calibri"/>
        </w:rPr>
        <w:t>Os Créditos de Serviço são da única e exclusiva responsabilidade do Cliente no que diz respeito a problemas de desempenho ou de disponibilidade de qualquer Serviço ao abrigo do Contrato e deste SLA. O Cliente não pode, de forma unilateral, compensar os respetivos Honorários dos Serviços Aplicáveis por quaisquer problemas de desempenho ou de disponibilidade.</w:t>
      </w:r>
    </w:p>
    <w:p w14:paraId="6AC6CA59" w14:textId="77777777" w:rsidR="000D2AE0" w:rsidRPr="002A0A04" w:rsidRDefault="000D2AE0" w:rsidP="000D2AE0">
      <w:pPr>
        <w:pStyle w:val="ProductList-Body"/>
        <w:rPr>
          <w:rFonts w:ascii="Calibri" w:hAnsi="Calibri" w:cs="Calibri"/>
        </w:rPr>
      </w:pPr>
    </w:p>
    <w:p w14:paraId="674D9E9B" w14:textId="77777777" w:rsidR="000D2AE0" w:rsidRPr="002A0A04" w:rsidRDefault="000D2AE0" w:rsidP="000D2AE0">
      <w:pPr>
        <w:pStyle w:val="ProductList-Body"/>
        <w:rPr>
          <w:rFonts w:ascii="Calibri" w:hAnsi="Calibri" w:cs="Calibri"/>
        </w:rPr>
      </w:pPr>
      <w:r>
        <w:rPr>
          <w:rFonts w:ascii="Calibri" w:hAnsi="Calibri" w:cs="Calibri"/>
        </w:rPr>
        <w:t>Os Créditos de Serviço aplicam-se apenas aos honorários pagos pelo Serviço, Recurso de Serviço ou camada do Serviço em particular para o qual um Nível de Serviço não foi cumprido. Nos casos em que os Níveis de Serviço se aplicam a Recursos de Serviço individuais ou a camadas do Serviço separadas, os Créditos de Serviço aplicam-se apenas a honorários pagos pelo Recurso de Serviço ou camada do Serviço afetada, conforme aplicável, e apenas no que respeita ao período de indisponibilidade efetivo e não à duração total da interrupção. 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Período Aplicável. Os Créditos de Serviço não serão atribuídos para compensar quaisquer outras formas de perda, incluindo, entre outras, a perda de receitas, os custos operacionais ou quaisquer perdas indiretas sofridas pelo Cliente ou pelos utilizadores finais.</w:t>
      </w:r>
    </w:p>
    <w:p w14:paraId="728B590F" w14:textId="77777777" w:rsidR="001D1C2C" w:rsidRPr="00EF7CF9" w:rsidRDefault="001D1C2C" w:rsidP="00F01ED6">
      <w:pPr>
        <w:pStyle w:val="ProductList-Body"/>
      </w:pPr>
    </w:p>
    <w:p w14:paraId="5B365128" w14:textId="77777777" w:rsidR="001D1C2C" w:rsidRPr="00EF7CF9" w:rsidRDefault="001D1C2C" w:rsidP="00F01ED6">
      <w:pPr>
        <w:pStyle w:val="ProductList-ClauseHeading"/>
        <w:outlineLvl w:val="2"/>
      </w:pPr>
      <w:bookmarkStart w:id="34" w:name="Limitations"/>
      <w:r>
        <w:t>Limitações</w:t>
      </w:r>
    </w:p>
    <w:bookmarkEnd w:id="34"/>
    <w:p w14:paraId="4DD4642A" w14:textId="77777777" w:rsidR="001D1C2C" w:rsidRPr="00EF7CF9" w:rsidRDefault="001D1C2C" w:rsidP="00F01ED6">
      <w:pPr>
        <w:pStyle w:val="ProductList-Body"/>
      </w:pPr>
      <w:r>
        <w:t>O presente SLA e quaisquer Níveis de Serviço aplicáveis não se aplicam a quaisquer problemas de desempenho ou de disponibilidade:</w:t>
      </w:r>
    </w:p>
    <w:p w14:paraId="68138A07" w14:textId="337D6413" w:rsidR="001D1C2C" w:rsidRPr="00EF7CF9" w:rsidRDefault="001D1C2C" w:rsidP="00F01ED6">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w:t>
      </w:r>
      <w:r w:rsidR="001E6724">
        <w:t> </w:t>
      </w:r>
      <w:r>
        <w:t>local do Cliente e o centro de dados da Microsoft);</w:t>
      </w:r>
    </w:p>
    <w:p w14:paraId="50A32887" w14:textId="4327C0EA" w:rsidR="001D1C2C" w:rsidRDefault="001D1C2C" w:rsidP="00F01ED6">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5F463160" w14:textId="77777777" w:rsidR="00DD3EFA" w:rsidRDefault="00DD3EFA" w:rsidP="00F01ED6">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2BE67CA0" w:rsidR="001D1C2C" w:rsidRPr="00EF7CF9" w:rsidRDefault="001D1C2C" w:rsidP="00F01ED6">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w:t>
      </w:r>
      <w:r w:rsidR="00F31F6E">
        <w:t> </w:t>
      </w:r>
      <w:r>
        <w:t>Serviço e se o Cliente não tiver modificado a sua utilização consoante aconselhado;</w:t>
      </w:r>
    </w:p>
    <w:p w14:paraId="7A23EEE9" w14:textId="17D0B297" w:rsidR="001D1C2C" w:rsidRPr="00EF7CF9" w:rsidRDefault="001D1C2C" w:rsidP="00F01ED6">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EF7CF9" w:rsidRDefault="001D1C2C" w:rsidP="00F01ED6">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4693A7B0" w14:textId="77777777" w:rsidR="000642C3" w:rsidRPr="002A0A04" w:rsidRDefault="000642C3" w:rsidP="000642C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resultem da falha por parte do Cliente em cumprir quaisquer configurações necessárias, utilizar configurações ou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1D4B6B" w:rsidRDefault="001D1C2C" w:rsidP="00F01ED6">
      <w:pPr>
        <w:pStyle w:val="ProductList-Body"/>
        <w:numPr>
          <w:ilvl w:val="0"/>
          <w:numId w:val="1"/>
        </w:numPr>
        <w:tabs>
          <w:tab w:val="clear" w:pos="360"/>
          <w:tab w:val="clear" w:pos="720"/>
          <w:tab w:val="clear" w:pos="1080"/>
        </w:tabs>
        <w:rPr>
          <w:spacing w:val="-2"/>
        </w:rPr>
      </w:pPr>
      <w:r w:rsidRPr="001D4B6B">
        <w:rPr>
          <w:spacing w:val="-2"/>
        </w:rPr>
        <w:t>Resultantes de introdução de dados, instruções ou argumentos incorretos (por exemplo, pedidos para aceder a ficheiros que não existem);</w:t>
      </w:r>
    </w:p>
    <w:p w14:paraId="5A13F502" w14:textId="77777777" w:rsidR="003E0B06" w:rsidRPr="002A0A04" w:rsidRDefault="003E0B06" w:rsidP="003E0B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Resultantes das tentativas por parte do Cliente para executar operações que excedam as quotas indicadas ou resultantes da limitação por parte da Microsoft de comportamento abusivo suspeito ou contas pirateadas;</w:t>
      </w:r>
    </w:p>
    <w:p w14:paraId="767733A8" w14:textId="1C6B61EB" w:rsidR="001D1C2C" w:rsidRPr="00EF7CF9" w:rsidRDefault="001D1C2C" w:rsidP="00F01ED6">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Default="001D1C2C" w:rsidP="00F01ED6">
      <w:pPr>
        <w:pStyle w:val="ProductList-Body"/>
        <w:numPr>
          <w:ilvl w:val="0"/>
          <w:numId w:val="1"/>
        </w:numPr>
        <w:tabs>
          <w:tab w:val="clear" w:pos="360"/>
          <w:tab w:val="clear" w:pos="720"/>
          <w:tab w:val="clear" w:pos="1080"/>
        </w:tabs>
      </w:pPr>
      <w:r>
        <w:t>Para licenças reservadas, mas não pagas, no momento do Incidente.</w:t>
      </w:r>
    </w:p>
    <w:p w14:paraId="0894E1DA"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As operações iniciadas pelo Cliente, tais como reiniciar, parar, iniciar, ativar pós-falha, computação à escala e armazenamento (que, pela sua natureza, incluem restrições de capacidade) que incorrem em período de indisponibilidade são excluídas do cálculo do período de disponibilidade, exceto se explicitamente definidas no Nível de Serviço aplicável;</w:t>
      </w:r>
    </w:p>
    <w:p w14:paraId="52A92184"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janela de manutenção mensal que implica um período de indisponibilidade para aplicar patches ao servidor e à infraestrutura está excluída do cálculo do período de disponibilidade.</w:t>
      </w:r>
    </w:p>
    <w:p w14:paraId="3D779D12"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resultam da degradação do desempenho ou de problemas de latência sem indisponibilidade efetiva do serviço (exceto no caso dos serviços que incluem explicitamente um Nível de Serviço baseado no desempenho).</w:t>
      </w:r>
    </w:p>
    <w:p w14:paraId="30D18665" w14:textId="77777777" w:rsidR="003C1FF6" w:rsidRPr="002A0A04" w:rsidRDefault="003C1FF6" w:rsidP="003C1FF6">
      <w:pPr>
        <w:spacing w:after="0"/>
        <w:rPr>
          <w:rFonts w:ascii="Calibri" w:hAnsi="Calibri" w:cs="Calibri"/>
          <w:sz w:val="18"/>
        </w:rPr>
      </w:pPr>
    </w:p>
    <w:p w14:paraId="4B72C513" w14:textId="505B9FAC" w:rsidR="001D1C2C" w:rsidRPr="003C1FF6" w:rsidRDefault="003C1FF6" w:rsidP="003C1FF6">
      <w:pPr>
        <w:keepNext/>
        <w:rPr>
          <w:rFonts w:ascii="Calibri" w:hAnsi="Calibri" w:cs="Calibri"/>
          <w:sz w:val="18"/>
        </w:rPr>
      </w:pPr>
      <w:r>
        <w:rPr>
          <w:rFonts w:ascii="Calibri" w:hAnsi="Calibri" w:cs="Calibri"/>
          <w:sz w:val="18"/>
        </w:rPr>
        <w:t>As comunicações de indisponibilidade da Microsoft destinam-se a ajudar os clientes a tomar medidas preventivas para as suas aplicações críticas para a empresa e não são uma confirmação dos Níveis de Serviço em falta ou da elegibilidade dos Créditos de Serviço.</w:t>
      </w:r>
    </w:p>
    <w:p w14:paraId="61871B44" w14:textId="08E4E02B" w:rsidR="001D1C2C" w:rsidRPr="00EF7CF9" w:rsidRDefault="001D1C2C" w:rsidP="00F01ED6">
      <w:pPr>
        <w:pStyle w:val="ProductList-Body"/>
      </w:pPr>
      <w:r>
        <w:t>Os Serviços adquiridos através de contratos de licenciamento em volume Open, Open Value e Open Value Subscription e Serviços num conjunto de</w:t>
      </w:r>
      <w:r w:rsidR="001D4B6B">
        <w:t> </w:t>
      </w:r>
      <w:r>
        <w:t>aplicações do Office 365 Pequenas Empresas Premium adquiridos sob a forma de uma chave de produto não são elegíveis para os Créditos de</w:t>
      </w:r>
      <w:r w:rsidR="001268E5">
        <w:t> </w:t>
      </w:r>
      <w:r>
        <w:t xml:space="preserve">Serviço com base nos honorários dos serviços. Para estes Serviços, qualquer Crédito de Serviço para o qual o Cliente possa ser elegível será creditado sob a forma de tempo de serviço (ou seja, dias), por oposição aos honorários dos serviços. Quaisquer referências a </w:t>
      </w:r>
      <w:r w:rsidR="00380305">
        <w:t>“</w:t>
      </w:r>
      <w:r>
        <w:t>Honorários dos Serviços Aplicáveis</w:t>
      </w:r>
      <w:r w:rsidR="00380305">
        <w:t>”</w:t>
      </w:r>
      <w:r>
        <w:t xml:space="preserve"> são eliminadas e substituídas por </w:t>
      </w:r>
      <w:r w:rsidR="00380305">
        <w:t>“</w:t>
      </w:r>
      <w:r>
        <w:t>Período Aplicável</w:t>
      </w:r>
      <w:r w:rsidR="00380305">
        <w:t>”</w:t>
      </w:r>
      <w:r>
        <w:t>.</w:t>
      </w:r>
    </w:p>
    <w:p w14:paraId="5B5DA3B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4885D4F" w14:textId="77CE35F8" w:rsidR="00045C64" w:rsidRPr="00EF7CF9" w:rsidRDefault="00045C64" w:rsidP="00F01ED6">
      <w:pPr>
        <w:pStyle w:val="ProductList-SectionHeading"/>
        <w:tabs>
          <w:tab w:val="clear" w:pos="360"/>
          <w:tab w:val="clear" w:pos="720"/>
          <w:tab w:val="clear" w:pos="1080"/>
        </w:tabs>
        <w:outlineLvl w:val="0"/>
      </w:pPr>
      <w:bookmarkStart w:id="35" w:name="_Toc457821507"/>
      <w:bookmarkStart w:id="36" w:name="_Toc182409576"/>
      <w:bookmarkStart w:id="37" w:name="ServiceSpecificTerms"/>
      <w:bookmarkStart w:id="38" w:name="TermosEspecíficosdoServiço"/>
      <w:r>
        <w:t>Termos Específicos do Serviço</w:t>
      </w:r>
      <w:bookmarkEnd w:id="35"/>
      <w:bookmarkEnd w:id="36"/>
    </w:p>
    <w:p w14:paraId="07111700" w14:textId="7469B3B8" w:rsidR="00045C64" w:rsidRPr="00EF7CF9" w:rsidRDefault="00045C64" w:rsidP="00F01ED6">
      <w:pPr>
        <w:pStyle w:val="ProductList-OfferingGroupHeading"/>
        <w:tabs>
          <w:tab w:val="clear" w:pos="360"/>
          <w:tab w:val="clear" w:pos="720"/>
          <w:tab w:val="clear" w:pos="1080"/>
        </w:tabs>
        <w:outlineLvl w:val="1"/>
      </w:pPr>
      <w:bookmarkStart w:id="39" w:name="_Toc457821508"/>
      <w:bookmarkStart w:id="40" w:name="_Toc182409577"/>
      <w:bookmarkEnd w:id="37"/>
      <w:bookmarkEnd w:id="38"/>
      <w:r>
        <w:t>Microsoft Dynamics</w:t>
      </w:r>
      <w:bookmarkEnd w:id="39"/>
      <w:r>
        <w:t xml:space="preserve"> 365</w:t>
      </w:r>
      <w:bookmarkEnd w:id="40"/>
    </w:p>
    <w:p w14:paraId="39192933"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1" w:name="_Toc182409578"/>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em que os utilizadores finais não conseguem iniciar sessão na respetiva instância.</w:t>
      </w:r>
    </w:p>
    <w:p w14:paraId="79A61192" w14:textId="754A2D9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FCFD88" w14:textId="77777777" w:rsidR="00D50DE8" w:rsidRPr="00EF7CF9" w:rsidRDefault="00D50DE8" w:rsidP="00F01ED6">
      <w:pPr>
        <w:pStyle w:val="ProductList-Body"/>
      </w:pPr>
    </w:p>
    <w:p w14:paraId="6E972F08" w14:textId="21F2A5D3"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38F44403" w14:textId="58D4620A"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C7355C">
        <w:t> </w:t>
      </w:r>
      <w:r>
        <w:t>esse Incidente.</w:t>
      </w:r>
    </w:p>
    <w:p w14:paraId="0DE1F58B" w14:textId="77777777" w:rsidR="00D50DE8" w:rsidRPr="00EF7CF9" w:rsidRDefault="00D50DE8" w:rsidP="00F01ED6">
      <w:pPr>
        <w:pStyle w:val="ProductList-Body"/>
      </w:pPr>
    </w:p>
    <w:p w14:paraId="30958FCB"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2B916E"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F01ED6">
            <w:pPr>
              <w:pStyle w:val="ProductList-OfferingBody"/>
              <w:jc w:val="center"/>
            </w:pPr>
            <w:r>
              <w:t>&lt; 99,9%</w:t>
            </w:r>
          </w:p>
        </w:tc>
        <w:tc>
          <w:tcPr>
            <w:tcW w:w="5400" w:type="dxa"/>
          </w:tcPr>
          <w:p w14:paraId="36FA6803" w14:textId="77777777" w:rsidR="00D50DE8" w:rsidRPr="00EF7CF9" w:rsidRDefault="00D50DE8" w:rsidP="00F01ED6">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F01ED6">
            <w:pPr>
              <w:pStyle w:val="ProductList-OfferingBody"/>
              <w:jc w:val="center"/>
            </w:pPr>
            <w:r>
              <w:t>&lt; 99%</w:t>
            </w:r>
          </w:p>
        </w:tc>
        <w:tc>
          <w:tcPr>
            <w:tcW w:w="5400" w:type="dxa"/>
          </w:tcPr>
          <w:p w14:paraId="163EB0A1" w14:textId="77777777" w:rsidR="00D50DE8" w:rsidRPr="00EF7CF9" w:rsidRDefault="00D50DE8" w:rsidP="00F01ED6">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F01ED6">
            <w:pPr>
              <w:pStyle w:val="ProductList-OfferingBody"/>
              <w:jc w:val="center"/>
            </w:pPr>
            <w:r>
              <w:t>&lt; 95%</w:t>
            </w:r>
          </w:p>
        </w:tc>
        <w:tc>
          <w:tcPr>
            <w:tcW w:w="5400" w:type="dxa"/>
          </w:tcPr>
          <w:p w14:paraId="3B973236" w14:textId="77777777" w:rsidR="00D50DE8" w:rsidRPr="00EF7CF9" w:rsidRDefault="00D50DE8" w:rsidP="00F01ED6">
            <w:pPr>
              <w:pStyle w:val="ProductList-OfferingBody"/>
              <w:jc w:val="center"/>
            </w:pPr>
            <w:r>
              <w:t>100%</w:t>
            </w:r>
          </w:p>
        </w:tc>
      </w:tr>
    </w:tbl>
    <w:p w14:paraId="49B25FE7" w14:textId="77777777" w:rsidR="006410DA" w:rsidRPr="00EF7CF9" w:rsidRDefault="006410DA" w:rsidP="006410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4442E">
          <w:rPr>
            <w:rStyle w:val="Hyperlink"/>
            <w:sz w:val="16"/>
            <w:szCs w:val="16"/>
          </w:rPr>
          <w:t>Índice</w:t>
        </w:r>
      </w:hyperlink>
      <w:r>
        <w:rPr>
          <w:sz w:val="16"/>
          <w:szCs w:val="16"/>
        </w:rPr>
        <w:t xml:space="preserve"> / </w:t>
      </w:r>
      <w:hyperlink w:anchor="Definitions" w:history="1">
        <w:r w:rsidRPr="00E4442E">
          <w:rPr>
            <w:rStyle w:val="Hyperlink"/>
            <w:sz w:val="16"/>
            <w:szCs w:val="16"/>
          </w:rPr>
          <w:t>Definições</w:t>
        </w:r>
      </w:hyperlink>
    </w:p>
    <w:p w14:paraId="6C9CF5B3" w14:textId="77777777" w:rsidR="00D50DE8" w:rsidRPr="00EF7CF9" w:rsidRDefault="00D50DE8" w:rsidP="00F01ED6">
      <w:pPr>
        <w:pStyle w:val="ProductList-Offering2Heading"/>
        <w:pBdr>
          <w:between w:val="single" w:sz="4" w:space="1" w:color="auto"/>
        </w:pBdr>
        <w:tabs>
          <w:tab w:val="clear" w:pos="360"/>
          <w:tab w:val="clear" w:pos="720"/>
          <w:tab w:val="clear" w:pos="1080"/>
        </w:tabs>
        <w:outlineLvl w:val="2"/>
      </w:pPr>
      <w:bookmarkStart w:id="47" w:name="_Toc182409579"/>
      <w:r>
        <w:t>Dynamics 365 Commerce</w:t>
      </w:r>
      <w:bookmarkEnd w:id="47"/>
    </w:p>
    <w:p w14:paraId="5C8ACDEF"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540B380B" w14:textId="33151FD8"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D71DF41" w14:textId="67C51EE8" w:rsidR="00D50DE8" w:rsidRPr="00EF7CF9" w:rsidRDefault="00380305" w:rsidP="00F01ED6">
      <w:pPr>
        <w:pStyle w:val="ProductList-Body"/>
      </w:pPr>
      <w:r>
        <w:t>“</w:t>
      </w:r>
      <w:r w:rsidR="00D50DE8">
        <w:rPr>
          <w:b/>
          <w:color w:val="00188F"/>
        </w:rPr>
        <w:t>Serviço de Aplicação de Parceiro</w:t>
      </w:r>
      <w:r>
        <w:t>”</w:t>
      </w:r>
      <w:r w:rsidR="00D50DE8">
        <w:t xml:space="preserve"> designa uma aplicação de parceiro que assenta e está combinada com a Plataforma que (A) é utilizada no</w:t>
      </w:r>
      <w:r w:rsidR="006946B0">
        <w:t> </w:t>
      </w:r>
      <w:r w:rsidR="00D50DE8">
        <w:t>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48E919D" w14:textId="74B5D1A4" w:rsidR="00D50DE8" w:rsidRPr="00EF7CF9" w:rsidRDefault="00380305" w:rsidP="00F01ED6">
      <w:pPr>
        <w:pStyle w:val="ProductList-Body"/>
      </w:pPr>
      <w:r>
        <w:t>“</w:t>
      </w:r>
      <w:r w:rsidR="00D50DE8">
        <w:rPr>
          <w:b/>
          <w:color w:val="00188F"/>
        </w:rPr>
        <w:t>Máximo de Minutos Disponíveis</w:t>
      </w:r>
      <w:r>
        <w:t>”</w:t>
      </w:r>
      <w:r w:rsidR="00D50DE8">
        <w:t xml:space="preserve"> designa o total de minutos acumulados durante um Período Aplicável durante os quais um Inquilino Ativo foi</w:t>
      </w:r>
      <w:r w:rsidR="006946B0">
        <w:t> </w:t>
      </w:r>
      <w:r w:rsidR="00D50DE8">
        <w:t>implementado num Serviço de Aplicação de Parceiro utilizando uma topologia de produção de elevada disponibilidade ativa.</w:t>
      </w:r>
    </w:p>
    <w:p w14:paraId="0C74F514" w14:textId="553ED208" w:rsidR="00D50DE8" w:rsidRPr="00EF7CF9" w:rsidRDefault="00380305" w:rsidP="00F01ED6">
      <w:pPr>
        <w:pStyle w:val="ProductList-Body"/>
      </w:pPr>
      <w:r>
        <w:t>“</w:t>
      </w:r>
      <w:r w:rsidR="00D50DE8">
        <w:rPr>
          <w:b/>
          <w:color w:val="00188F"/>
        </w:rPr>
        <w:t>Plataforma</w:t>
      </w:r>
      <w:r>
        <w:t>”</w:t>
      </w:r>
      <w:r w:rsidR="00D50DE8">
        <w:t xml:space="preserve"> designa os formulários de cliente do Serviço, os relatórios do SQL Server, operações em batch e os pontos finais da API ou as APIs de</w:t>
      </w:r>
      <w:r w:rsidR="006946B0">
        <w:t> </w:t>
      </w:r>
      <w:r w:rsidR="00D50DE8">
        <w:t>retalho do Serviço utilizadas apenas para fins comerciais ou de retalho.</w:t>
      </w:r>
    </w:p>
    <w:p w14:paraId="7DEAA6DA" w14:textId="564DC0EA" w:rsidR="00D50DE8" w:rsidRPr="00EF7CF9" w:rsidRDefault="00380305" w:rsidP="00F01ED6">
      <w:pPr>
        <w:pStyle w:val="ProductList-Body"/>
      </w:pPr>
      <w:r>
        <w:t>“</w:t>
      </w:r>
      <w:r w:rsidR="00D50DE8">
        <w:rPr>
          <w:b/>
          <w:color w:val="00188F"/>
        </w:rPr>
        <w:t>Unidade de Escala</w:t>
      </w:r>
      <w:r>
        <w:t>”</w:t>
      </w:r>
      <w:r w:rsidR="00D50DE8">
        <w:t xml:space="preserve"> designa os incrementos pelos quais os recursos informáticos e de armazenamento são adicionais ou removidos de um Serviço de Aplicação de Parceiro.</w:t>
      </w:r>
    </w:p>
    <w:p w14:paraId="2E0FE7F1" w14:textId="409EB012" w:rsidR="00D50DE8" w:rsidRPr="00EF7CF9" w:rsidRDefault="00380305" w:rsidP="00F01ED6">
      <w:pPr>
        <w:pStyle w:val="ProductList-Body"/>
      </w:pPr>
      <w:r>
        <w:t>“</w:t>
      </w:r>
      <w:r w:rsidR="00D50DE8">
        <w:rPr>
          <w:b/>
          <w:color w:val="00188F"/>
        </w:rPr>
        <w:t>Infraestrutura do Serviço</w:t>
      </w:r>
      <w:r>
        <w:t>”</w:t>
      </w:r>
      <w:r w:rsidR="00D50DE8">
        <w:t xml:space="preserve"> designa os recursos de autenticação, informáticos e armazenamento que a Microsoft fornece no âmbito do Serviço.</w:t>
      </w:r>
    </w:p>
    <w:p w14:paraId="3341CE03" w14:textId="77777777" w:rsidR="00D50DE8" w:rsidRPr="00EF7CF9" w:rsidRDefault="00D50DE8" w:rsidP="00F01ED6">
      <w:pPr>
        <w:pStyle w:val="ProductList-Body"/>
      </w:pPr>
    </w:p>
    <w:p w14:paraId="7E890B2C" w14:textId="0018238A"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w:t>
      </w:r>
      <w:r w:rsidR="00AB60B1">
        <w:t> </w:t>
      </w:r>
      <w:r>
        <w:t>sistema e monitorização do estado de funcionamento automáticos. O Período de Indisponibilidade não inclui a Indisponibilidade Agendada, a</w:t>
      </w:r>
      <w:r w:rsidR="00AB60B1">
        <w:t> </w:t>
      </w:r>
      <w:r>
        <w:t>indisponibilidade das funcionalidades dos suplementos do Serviço, a incapacidade de aceder ao Serviço devido a modificações efetuadas ao Serviço pelo Cliente ou os períodos em que é excedida a capacidade da Unidade de Escala.</w:t>
      </w:r>
    </w:p>
    <w:p w14:paraId="6A7E9F20" w14:textId="77777777" w:rsidR="00D50DE8" w:rsidRPr="00EF7CF9" w:rsidRDefault="00D50DE8" w:rsidP="00F01ED6">
      <w:pPr>
        <w:pStyle w:val="ProductList-Body"/>
      </w:pPr>
    </w:p>
    <w:p w14:paraId="16AB907B" w14:textId="0523E1D5"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4ED269D7" w14:textId="77777777" w:rsidR="00D50DE8" w:rsidRPr="00EF7CF9" w:rsidRDefault="00D50DE8" w:rsidP="00F01ED6">
      <w:pPr>
        <w:pStyle w:val="ProductList-Body"/>
      </w:pPr>
    </w:p>
    <w:p w14:paraId="79334EEB" w14:textId="11B12BF5"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0678A34" w14:textId="6C9EED92" w:rsidR="00D50DE8"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F2DB80B" w14:textId="77777777" w:rsidR="00D50DE8" w:rsidRPr="00EF7CF9" w:rsidRDefault="00D50DE8" w:rsidP="00F01ED6">
      <w:pPr>
        <w:pStyle w:val="ProductList-Body"/>
      </w:pPr>
    </w:p>
    <w:p w14:paraId="77FA5EF3"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7CD95"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F01ED6">
            <w:pPr>
              <w:pStyle w:val="ProductList-OfferingBody"/>
              <w:jc w:val="center"/>
            </w:pPr>
            <w:r>
              <w:t>&lt; 99,9%</w:t>
            </w:r>
          </w:p>
        </w:tc>
        <w:tc>
          <w:tcPr>
            <w:tcW w:w="5400" w:type="dxa"/>
          </w:tcPr>
          <w:p w14:paraId="33539270" w14:textId="77777777" w:rsidR="00D50DE8" w:rsidRPr="00EF7CF9" w:rsidRDefault="00D50DE8" w:rsidP="00F01ED6">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F01ED6">
            <w:pPr>
              <w:pStyle w:val="ProductList-OfferingBody"/>
              <w:jc w:val="center"/>
            </w:pPr>
            <w:r>
              <w:t>&lt; 99%</w:t>
            </w:r>
          </w:p>
        </w:tc>
        <w:tc>
          <w:tcPr>
            <w:tcW w:w="5400" w:type="dxa"/>
          </w:tcPr>
          <w:p w14:paraId="158C98F6" w14:textId="77777777" w:rsidR="00D50DE8" w:rsidRPr="00EF7CF9" w:rsidRDefault="00D50DE8" w:rsidP="00F01ED6">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F01ED6">
            <w:pPr>
              <w:pStyle w:val="ProductList-OfferingBody"/>
              <w:jc w:val="center"/>
            </w:pPr>
            <w:r>
              <w:t>&lt; 95%</w:t>
            </w:r>
          </w:p>
        </w:tc>
        <w:tc>
          <w:tcPr>
            <w:tcW w:w="5400" w:type="dxa"/>
          </w:tcPr>
          <w:p w14:paraId="3691C0E6" w14:textId="77777777" w:rsidR="00D50DE8" w:rsidRPr="00EF7CF9" w:rsidRDefault="00D50DE8" w:rsidP="00F01ED6">
            <w:pPr>
              <w:pStyle w:val="ProductList-OfferingBody"/>
              <w:jc w:val="center"/>
            </w:pPr>
            <w:r>
              <w:t>100%</w:t>
            </w:r>
          </w:p>
        </w:tc>
      </w:tr>
    </w:tbl>
    <w:p w14:paraId="280CF8D2"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67EA19"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8" w:name="_Toc182409580"/>
      <w:r>
        <w:t>Dynamics 365 Customer Insights</w:t>
      </w:r>
      <w:bookmarkEnd w:id="48"/>
    </w:p>
    <w:p w14:paraId="0B8CB214" w14:textId="77777777" w:rsidR="00D50DE8" w:rsidRDefault="00D50DE8" w:rsidP="00F01ED6">
      <w:pPr>
        <w:pStyle w:val="ProductList-Body"/>
        <w:rPr>
          <w:color w:val="000000"/>
        </w:rPr>
      </w:pPr>
      <w:r>
        <w:rPr>
          <w:b/>
          <w:bCs/>
          <w:color w:val="00188F"/>
        </w:rPr>
        <w:t>Período de Indisponibilidade</w:t>
      </w:r>
      <w:r w:rsidRPr="00473DD3">
        <w:rPr>
          <w:b/>
          <w:bCs/>
          <w:color w:val="00188F"/>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02AC3C64" w14:textId="46F2E2F7" w:rsidR="00D50DE8" w:rsidRDefault="00AC48A7" w:rsidP="00F01ED6">
      <w:pPr>
        <w:pStyle w:val="ProductList-Body"/>
        <w:rPr>
          <w:sz w:val="20"/>
          <w:szCs w:val="20"/>
        </w:rPr>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249570DE" w14:textId="77777777" w:rsidR="00D50DE8" w:rsidRDefault="00D50DE8" w:rsidP="00F01ED6">
      <w:pPr>
        <w:pStyle w:val="ProductList-Body"/>
      </w:pPr>
    </w:p>
    <w:p w14:paraId="1417B265" w14:textId="0B0494E4" w:rsidR="00D50DE8"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A885151" w14:textId="4AA94CCB" w:rsidR="00D50DE8"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4AA46C83" w14:textId="77777777" w:rsidR="00D50DE8" w:rsidRDefault="00D50DE8" w:rsidP="00F01ED6">
      <w:pPr>
        <w:pStyle w:val="ProductList-Body"/>
      </w:pPr>
    </w:p>
    <w:p w14:paraId="20E3C07F"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65D502"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F01ED6">
            <w:pPr>
              <w:pStyle w:val="ProductList-OfferingBody"/>
              <w:jc w:val="center"/>
            </w:pPr>
            <w:r>
              <w:t>&lt; 99,9%</w:t>
            </w:r>
          </w:p>
        </w:tc>
        <w:tc>
          <w:tcPr>
            <w:tcW w:w="5400" w:type="dxa"/>
          </w:tcPr>
          <w:p w14:paraId="5DFB2D85" w14:textId="77777777" w:rsidR="00D50DE8" w:rsidRPr="00EF7CF9" w:rsidRDefault="00D50DE8" w:rsidP="00F01ED6">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F01ED6">
            <w:pPr>
              <w:pStyle w:val="ProductList-OfferingBody"/>
              <w:jc w:val="center"/>
            </w:pPr>
            <w:r>
              <w:t>&lt; 99%</w:t>
            </w:r>
          </w:p>
        </w:tc>
        <w:tc>
          <w:tcPr>
            <w:tcW w:w="5400" w:type="dxa"/>
          </w:tcPr>
          <w:p w14:paraId="5B2C8E24" w14:textId="77777777" w:rsidR="00D50DE8" w:rsidRPr="00EF7CF9" w:rsidRDefault="00D50DE8" w:rsidP="00F01ED6">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F01ED6">
            <w:pPr>
              <w:pStyle w:val="ProductList-OfferingBody"/>
              <w:jc w:val="center"/>
            </w:pPr>
            <w:r>
              <w:t>&lt; 95%</w:t>
            </w:r>
          </w:p>
        </w:tc>
        <w:tc>
          <w:tcPr>
            <w:tcW w:w="5400" w:type="dxa"/>
          </w:tcPr>
          <w:p w14:paraId="2EC04FA4" w14:textId="77777777" w:rsidR="00D50DE8" w:rsidRPr="00EF7CF9" w:rsidRDefault="00D50DE8" w:rsidP="00F01ED6">
            <w:pPr>
              <w:pStyle w:val="ProductList-OfferingBody"/>
              <w:jc w:val="center"/>
            </w:pPr>
            <w:r>
              <w:t>100%</w:t>
            </w:r>
          </w:p>
        </w:tc>
      </w:tr>
    </w:tbl>
    <w:p w14:paraId="1617120E"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A2503BF" w14:textId="2E9FA398" w:rsidR="00EA5FB1" w:rsidRPr="006F3CBD" w:rsidRDefault="00EA5FB1" w:rsidP="00F01ED6">
      <w:pPr>
        <w:pStyle w:val="ProductList-Offering2Heading"/>
        <w:pBdr>
          <w:between w:val="single" w:sz="4" w:space="1" w:color="auto"/>
        </w:pBdr>
        <w:tabs>
          <w:tab w:val="clear" w:pos="360"/>
          <w:tab w:val="clear" w:pos="720"/>
          <w:tab w:val="clear" w:pos="1080"/>
        </w:tabs>
        <w:outlineLvl w:val="2"/>
        <w:rPr>
          <w:lang w:val="en-IN"/>
        </w:rPr>
      </w:pPr>
      <w:bookmarkStart w:id="49" w:name="_Toc182409581"/>
      <w:r w:rsidRPr="006F3CBD">
        <w:rPr>
          <w:lang w:val="en-IN"/>
        </w:rPr>
        <w:t>Dynamics 365 Customer Service Enterprise; Dynamics 365 Customer Service Professional</w:t>
      </w:r>
      <w:bookmarkEnd w:id="42"/>
      <w:r w:rsidRPr="006F3CBD">
        <w:rPr>
          <w:lang w:val="en-IN"/>
        </w:rPr>
        <w:t>; Dynamics 365 Customer Service Insights</w:t>
      </w:r>
      <w:bookmarkEnd w:id="43"/>
      <w:bookmarkEnd w:id="44"/>
      <w:r w:rsidRPr="006F3CBD">
        <w:rPr>
          <w:lang w:val="en-IN"/>
        </w:rPr>
        <w:t>; Dynamics 365 Field Service</w:t>
      </w:r>
      <w:bookmarkStart w:id="50" w:name="_Hlk51044693"/>
      <w:r w:rsidRPr="006F3CBD">
        <w:rPr>
          <w:lang w:val="en-IN"/>
        </w:rPr>
        <w:t xml:space="preserve">; </w:t>
      </w:r>
      <w:bookmarkStart w:id="51" w:name="_Hlk51044489"/>
      <w:r w:rsidRPr="006F3CBD">
        <w:rPr>
          <w:lang w:val="en-IN"/>
        </w:rPr>
        <w:t>Dynamics 365 Marketing</w:t>
      </w:r>
      <w:bookmarkEnd w:id="49"/>
      <w:bookmarkEnd w:id="50"/>
      <w:bookmarkEnd w:id="51"/>
    </w:p>
    <w:p w14:paraId="6CD0EAC6" w14:textId="6A97FABA" w:rsidR="001C41EA" w:rsidRPr="00EF7CF9" w:rsidRDefault="001C41EA"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66099B">
        <w:t> </w:t>
      </w:r>
      <w:r>
        <w:t>Serviços para os quais têm a permissão adequada mas não está incluída a indisponibilidade das funcionalidades dos suplementos do Serviço.</w:t>
      </w:r>
    </w:p>
    <w:p w14:paraId="25CB9B8D" w14:textId="1317DA15" w:rsidR="001C41EA"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FCA426" w14:textId="77777777" w:rsidR="001A6663" w:rsidRPr="00EF7CF9" w:rsidRDefault="001A6663" w:rsidP="00F01ED6">
      <w:pPr>
        <w:pStyle w:val="ProductList-Body"/>
      </w:pPr>
    </w:p>
    <w:p w14:paraId="0F1B402D" w14:textId="3BC29CBD" w:rsidR="001C41E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379AA8F" w14:textId="58E2D654" w:rsidR="001C41EA"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0D90E9DF" w14:textId="77777777" w:rsidR="001C41EA" w:rsidRPr="00EF7CF9" w:rsidRDefault="001C41EA" w:rsidP="00F01ED6">
      <w:pPr>
        <w:pStyle w:val="ProductList-Body"/>
      </w:pPr>
    </w:p>
    <w:p w14:paraId="0B68D327" w14:textId="77777777" w:rsidR="001C41EA" w:rsidRPr="00EF7CF9" w:rsidRDefault="001C41EA"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28C62A" w14:textId="77777777" w:rsidR="001C41EA" w:rsidRPr="00EF7CF9" w:rsidRDefault="001C41EA" w:rsidP="00F01ED6">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F01ED6">
            <w:pPr>
              <w:pStyle w:val="ProductList-OfferingBody"/>
              <w:jc w:val="center"/>
            </w:pPr>
            <w:r>
              <w:t>&lt; 99,9%</w:t>
            </w:r>
          </w:p>
        </w:tc>
        <w:tc>
          <w:tcPr>
            <w:tcW w:w="5400" w:type="dxa"/>
          </w:tcPr>
          <w:p w14:paraId="145E3B0C" w14:textId="77777777" w:rsidR="001C41EA" w:rsidRPr="00EF7CF9" w:rsidRDefault="001C41EA" w:rsidP="00F01ED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F01ED6">
            <w:pPr>
              <w:pStyle w:val="ProductList-OfferingBody"/>
              <w:jc w:val="center"/>
            </w:pPr>
            <w:r>
              <w:t>&lt; 99%</w:t>
            </w:r>
          </w:p>
        </w:tc>
        <w:tc>
          <w:tcPr>
            <w:tcW w:w="5400" w:type="dxa"/>
          </w:tcPr>
          <w:p w14:paraId="03CCA14E" w14:textId="77777777" w:rsidR="001C41EA" w:rsidRPr="00EF7CF9" w:rsidRDefault="001C41EA" w:rsidP="00F01ED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F01ED6">
            <w:pPr>
              <w:pStyle w:val="ProductList-OfferingBody"/>
              <w:jc w:val="center"/>
            </w:pPr>
            <w:r>
              <w:t>&lt; 95%</w:t>
            </w:r>
          </w:p>
        </w:tc>
        <w:tc>
          <w:tcPr>
            <w:tcW w:w="5400" w:type="dxa"/>
          </w:tcPr>
          <w:p w14:paraId="3D5F7C0E" w14:textId="77777777" w:rsidR="001C41EA" w:rsidRPr="00EF7CF9" w:rsidRDefault="001C41EA" w:rsidP="00F01ED6">
            <w:pPr>
              <w:pStyle w:val="ProductList-OfferingBody"/>
              <w:jc w:val="center"/>
            </w:pPr>
            <w:r>
              <w:t>100%</w:t>
            </w:r>
          </w:p>
        </w:tc>
      </w:tr>
    </w:tbl>
    <w:bookmarkStart w:id="52" w:name="_Toc24376584"/>
    <w:bookmarkStart w:id="53" w:name="MicrosoftDynamics365forFianceandOps"/>
    <w:p w14:paraId="1C19B5EF"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FA1BC91" w14:textId="77777777" w:rsidR="007150E4" w:rsidRDefault="007150E4" w:rsidP="00454A0B">
      <w:pPr>
        <w:pStyle w:val="ProductList-Offering2Heading"/>
        <w:pageBreakBefore/>
        <w:pBdr>
          <w:between w:val="single" w:sz="4" w:space="1" w:color="auto"/>
        </w:pBdr>
        <w:tabs>
          <w:tab w:val="clear" w:pos="360"/>
          <w:tab w:val="clear" w:pos="720"/>
          <w:tab w:val="clear" w:pos="1080"/>
        </w:tabs>
        <w:outlineLvl w:val="2"/>
      </w:pPr>
      <w:bookmarkStart w:id="54" w:name="_Toc182409582"/>
      <w:r>
        <w:t>Dynamics 365 Fraud Protection</w:t>
      </w:r>
      <w:bookmarkEnd w:id="52"/>
      <w:bookmarkEnd w:id="54"/>
    </w:p>
    <w:p w14:paraId="3ACBD161" w14:textId="07E936D3" w:rsidR="007150E4" w:rsidRPr="00EF7CF9" w:rsidRDefault="007150E4"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506357">
        <w:t> </w:t>
      </w:r>
      <w:r>
        <w:t>Serviços para os quais têm a permissão adequada mas não está incluída a indisponibilidade das funcionalidades dos suplementos do Serviço.</w:t>
      </w:r>
    </w:p>
    <w:p w14:paraId="382C53C0" w14:textId="1B39820A" w:rsidR="007150E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95BA9A" w14:textId="77777777" w:rsidR="007150E4" w:rsidRPr="00EF7CF9" w:rsidRDefault="007150E4" w:rsidP="00F01ED6">
      <w:pPr>
        <w:pStyle w:val="ProductList-Body"/>
      </w:pPr>
    </w:p>
    <w:p w14:paraId="66247538" w14:textId="6BA64C9E" w:rsidR="007150E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no mês - #Minutos em que o serviço DFP está indisponível</m:t>
              </m:r>
            </m:num>
            <m:den>
              <m:r>
                <m:rPr>
                  <m:nor/>
                </m:rPr>
                <w:rPr>
                  <w:rFonts w:ascii="Cambria Math" w:hAnsi="Cambria Math" w:cs="Calibri"/>
                  <w:i/>
                  <w:iCs/>
                  <w:sz w:val="18"/>
                  <w:szCs w:val="18"/>
                </w:rPr>
                <m:t>#Minutos no mês</m:t>
              </m:r>
            </m:den>
          </m:f>
          <m:r>
            <w:rPr>
              <w:rFonts w:ascii="Cambria Math" w:hAnsi="Cambria Math" w:cs="Calibri"/>
              <w:sz w:val="18"/>
              <w:szCs w:val="18"/>
            </w:rPr>
            <m:t xml:space="preserve"> x 100</m:t>
          </m:r>
        </m:oMath>
      </m:oMathPara>
    </w:p>
    <w:p w14:paraId="1FB1C5EE" w14:textId="0FFF3F1B" w:rsidR="007150E4" w:rsidRDefault="007150E4" w:rsidP="00F01ED6">
      <w:pPr>
        <w:pStyle w:val="ProductList-Body"/>
      </w:pPr>
      <w:r>
        <w:t>em que, num dado intervalo de um minuto, o serviço estará disponível se for efetuado um teste ping watchdog com êxito do serviço através do seu DNS externo.</w:t>
      </w:r>
    </w:p>
    <w:p w14:paraId="4E24A056" w14:textId="77777777" w:rsidR="001439A9" w:rsidRPr="00EF7CF9" w:rsidRDefault="001439A9" w:rsidP="00F01ED6">
      <w:pPr>
        <w:pStyle w:val="ProductList-Body"/>
      </w:pPr>
    </w:p>
    <w:p w14:paraId="465B95F0" w14:textId="77777777" w:rsidR="007150E4" w:rsidRPr="00EF7CF9" w:rsidRDefault="007150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491B48" w14:textId="77777777" w:rsidR="007150E4" w:rsidRPr="00EF7CF9" w:rsidRDefault="007150E4" w:rsidP="00F01ED6">
            <w:pPr>
              <w:pStyle w:val="ProductList-OfferingBody"/>
              <w:jc w:val="center"/>
              <w:rPr>
                <w:color w:val="FFFFFF" w:themeColor="background1"/>
              </w:rPr>
            </w:pPr>
            <w:r>
              <w:rPr>
                <w:color w:val="FFFFFF" w:themeColor="background1"/>
              </w:rPr>
              <w:t>Crédito de Serviço</w:t>
            </w:r>
          </w:p>
        </w:tc>
      </w:tr>
      <w:tr w:rsidR="007150E4" w:rsidRPr="00B44CF9" w14:paraId="0205B926" w14:textId="77777777" w:rsidTr="00CC3273">
        <w:tc>
          <w:tcPr>
            <w:tcW w:w="5400" w:type="dxa"/>
          </w:tcPr>
          <w:p w14:paraId="7AAC6E2B" w14:textId="77777777" w:rsidR="007150E4" w:rsidRPr="00EF7CF9" w:rsidRDefault="007150E4" w:rsidP="00F01ED6">
            <w:pPr>
              <w:pStyle w:val="ProductList-OfferingBody"/>
              <w:jc w:val="center"/>
            </w:pPr>
            <w:r>
              <w:t>&lt; 99,9%</w:t>
            </w:r>
          </w:p>
        </w:tc>
        <w:tc>
          <w:tcPr>
            <w:tcW w:w="5400" w:type="dxa"/>
          </w:tcPr>
          <w:p w14:paraId="440B5697" w14:textId="77777777" w:rsidR="007150E4" w:rsidRPr="00EF7CF9" w:rsidRDefault="007150E4" w:rsidP="00F01ED6">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F01ED6">
            <w:pPr>
              <w:pStyle w:val="ProductList-OfferingBody"/>
              <w:jc w:val="center"/>
            </w:pPr>
            <w:r>
              <w:t>&lt; 99%</w:t>
            </w:r>
          </w:p>
        </w:tc>
        <w:tc>
          <w:tcPr>
            <w:tcW w:w="5400" w:type="dxa"/>
          </w:tcPr>
          <w:p w14:paraId="022275FB" w14:textId="77777777" w:rsidR="007150E4" w:rsidRPr="00EF7CF9" w:rsidRDefault="007150E4" w:rsidP="00F01ED6">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F01ED6">
            <w:pPr>
              <w:pStyle w:val="ProductList-OfferingBody"/>
              <w:jc w:val="center"/>
            </w:pPr>
            <w:r>
              <w:t>&lt; 95%</w:t>
            </w:r>
          </w:p>
        </w:tc>
        <w:tc>
          <w:tcPr>
            <w:tcW w:w="5400" w:type="dxa"/>
          </w:tcPr>
          <w:p w14:paraId="1C1D4EBF" w14:textId="77777777" w:rsidR="007150E4" w:rsidRPr="00EF7CF9" w:rsidRDefault="007150E4" w:rsidP="00F01ED6">
            <w:pPr>
              <w:pStyle w:val="ProductList-OfferingBody"/>
              <w:jc w:val="center"/>
            </w:pPr>
            <w:r>
              <w:t>100%</w:t>
            </w:r>
          </w:p>
        </w:tc>
      </w:tr>
    </w:tbl>
    <w:p w14:paraId="5AF31E63"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B44A48B" w14:textId="723F27C9" w:rsidR="005D2062" w:rsidRDefault="005D2062" w:rsidP="00F01ED6">
      <w:pPr>
        <w:pStyle w:val="ProductList-Offering2Heading"/>
        <w:pBdr>
          <w:between w:val="single" w:sz="4" w:space="1" w:color="auto"/>
        </w:pBdr>
        <w:tabs>
          <w:tab w:val="clear" w:pos="360"/>
          <w:tab w:val="clear" w:pos="720"/>
          <w:tab w:val="clear" w:pos="1080"/>
        </w:tabs>
        <w:outlineLvl w:val="2"/>
      </w:pPr>
      <w:bookmarkStart w:id="55" w:name="_Toc182409583"/>
      <w:r>
        <w:t>Guias do Dynamics 365</w:t>
      </w:r>
      <w:bookmarkEnd w:id="55"/>
    </w:p>
    <w:p w14:paraId="73695421" w14:textId="77777777" w:rsidR="005D2062" w:rsidRDefault="005D2062" w:rsidP="00F01ED6">
      <w:pPr>
        <w:pStyle w:val="ProductList-Body"/>
      </w:pPr>
      <w:r>
        <w:rPr>
          <w:b/>
          <w:color w:val="00188F"/>
        </w:rPr>
        <w:t>Definições Adicionais</w:t>
      </w:r>
      <w:r w:rsidRPr="00473DD3">
        <w:rPr>
          <w:b/>
          <w:color w:val="00188F"/>
        </w:rPr>
        <w:t>:</w:t>
      </w:r>
    </w:p>
    <w:p w14:paraId="6290D355" w14:textId="75B66A9E" w:rsidR="00053629" w:rsidRDefault="00053629" w:rsidP="00F01ED6">
      <w:pPr>
        <w:pStyle w:val="ProductList-Body"/>
      </w:pPr>
      <w:r>
        <w:rPr>
          <w:b/>
          <w:color w:val="00188F"/>
        </w:rPr>
        <w:t>Período de Indisponibilidade</w:t>
      </w:r>
      <w:r w:rsidRPr="00473DD3">
        <w:rPr>
          <w:b/>
          <w:color w:val="00188F"/>
        </w:rPr>
        <w:t>:</w:t>
      </w:r>
      <w:r>
        <w:t xml:space="preserve"> Qualquer período de tempo durante o qual o utilizador final não consegue ler ou escrever quaisquer dados de</w:t>
      </w:r>
      <w:r w:rsidR="00780493">
        <w:t> </w:t>
      </w:r>
      <w:r>
        <w:t>Serviços para os quais tem a permissão adequada. Qualquer período de tempo durante o qual os utilizadores finais não conseguem iniciar ou</w:t>
      </w:r>
      <w:r w:rsidR="00780493">
        <w:t> </w:t>
      </w:r>
      <w:r>
        <w:t>participar em chamadas.</w:t>
      </w:r>
    </w:p>
    <w:p w14:paraId="4E0FB4C9" w14:textId="279EE74A" w:rsidR="0005362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1BB76C9" w14:textId="77777777" w:rsidR="00EF1A8C" w:rsidRPr="00EF7CF9" w:rsidRDefault="00EF1A8C" w:rsidP="00F01ED6">
      <w:pPr>
        <w:pStyle w:val="ProductList-Body"/>
      </w:pPr>
    </w:p>
    <w:p w14:paraId="6FC8E398" w14:textId="609004DA" w:rsidR="00EF1A8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4C7B4AE" w14:textId="4F690C0B" w:rsidR="00363902"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372FC373" w14:textId="77777777" w:rsidR="00363902" w:rsidRPr="00122CF3" w:rsidRDefault="00363902" w:rsidP="00F01ED6">
      <w:pPr>
        <w:pStyle w:val="ProductList-Body"/>
      </w:pPr>
    </w:p>
    <w:p w14:paraId="5C6B69ED" w14:textId="77777777" w:rsidR="00363902" w:rsidRDefault="00363902" w:rsidP="00F01ED6">
      <w:pPr>
        <w:pStyle w:val="ProductList-Body"/>
      </w:pPr>
      <w:r>
        <w:t>* O Período de Indisponibilidade não inclui o Período de Indisponibilidade Agendado.</w:t>
      </w:r>
    </w:p>
    <w:p w14:paraId="15EBF827" w14:textId="77777777" w:rsidR="00363902" w:rsidRPr="00363902" w:rsidRDefault="00363902" w:rsidP="00F01ED6">
      <w:pPr>
        <w:pStyle w:val="ProductList-Body"/>
      </w:pPr>
    </w:p>
    <w:p w14:paraId="1FCB8676" w14:textId="77777777" w:rsidR="00363902" w:rsidRPr="00122CF3" w:rsidRDefault="00363902" w:rsidP="00F01ED6">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98" w:type="dxa"/>
            <w:shd w:val="clear" w:color="auto" w:fill="0072C6"/>
          </w:tcPr>
          <w:p w14:paraId="2C46FC2D" w14:textId="77777777" w:rsidR="00363902" w:rsidRPr="00363902" w:rsidRDefault="00363902" w:rsidP="00F01ED6">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F01ED6">
            <w:pPr>
              <w:pStyle w:val="ProductList-OfferingBody"/>
              <w:jc w:val="center"/>
            </w:pPr>
            <w:r>
              <w:t>&lt; 99,5%</w:t>
            </w:r>
          </w:p>
        </w:tc>
        <w:tc>
          <w:tcPr>
            <w:tcW w:w="5398" w:type="dxa"/>
          </w:tcPr>
          <w:p w14:paraId="7AD2B5CB" w14:textId="77777777" w:rsidR="00363902" w:rsidRPr="00363902" w:rsidRDefault="00363902" w:rsidP="00F01ED6">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F01ED6">
            <w:pPr>
              <w:pStyle w:val="ProductList-OfferingBody"/>
              <w:jc w:val="center"/>
            </w:pPr>
            <w:r>
              <w:t>&lt; 99%</w:t>
            </w:r>
          </w:p>
        </w:tc>
        <w:tc>
          <w:tcPr>
            <w:tcW w:w="5398" w:type="dxa"/>
          </w:tcPr>
          <w:p w14:paraId="3200CDDD" w14:textId="77777777" w:rsidR="00363902" w:rsidRPr="00363902" w:rsidRDefault="00363902" w:rsidP="00F01ED6">
            <w:pPr>
              <w:pStyle w:val="ProductList-OfferingBody"/>
              <w:jc w:val="center"/>
            </w:pPr>
            <w:r>
              <w:t>50%</w:t>
            </w:r>
          </w:p>
        </w:tc>
      </w:tr>
    </w:tbl>
    <w:p w14:paraId="79616C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D4CDC2"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56" w:name="_Toc182409584"/>
      <w:r>
        <w:t>Dynamics 365 Human Resources</w:t>
      </w:r>
      <w:bookmarkEnd w:id="56"/>
    </w:p>
    <w:p w14:paraId="37E650DD"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19B90069" w14:textId="3AC193DC"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tem uma base de</w:t>
      </w:r>
      <w:r w:rsidR="00E6633A">
        <w:t> </w:t>
      </w:r>
      <w:r w:rsidR="00D50DE8">
        <w:t>dados ativa onde os utilizadores podem iniciar sessão.</w:t>
      </w:r>
    </w:p>
    <w:p w14:paraId="74A6F342" w14:textId="7FD9E833"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6633A">
        <w:t> </w:t>
      </w:r>
      <w:r>
        <w:t>Serviços para os quais têm a permissão adequada. O Período de Indisponibilidade não inclui o Período de Indisponibilidade Agendado.</w:t>
      </w:r>
    </w:p>
    <w:p w14:paraId="43CF1F57" w14:textId="5E3DE4EC"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F229E3" w14:textId="77777777" w:rsidR="00D50DE8" w:rsidRPr="00EF7CF9" w:rsidRDefault="00D50DE8" w:rsidP="00F01ED6">
      <w:pPr>
        <w:pStyle w:val="ProductList-Body"/>
      </w:pPr>
    </w:p>
    <w:p w14:paraId="143DEF24" w14:textId="4D5E7D8D"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70BED5B" w14:textId="3880E929"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r w:rsidR="00AE2118">
        <w:t xml:space="preserve"> </w:t>
      </w:r>
    </w:p>
    <w:p w14:paraId="0F9D7528" w14:textId="77777777" w:rsidR="00D50DE8" w:rsidRPr="00EF7CF9" w:rsidRDefault="00D50DE8" w:rsidP="00F01ED6">
      <w:pPr>
        <w:pStyle w:val="ProductList-Body"/>
      </w:pPr>
    </w:p>
    <w:p w14:paraId="26A442BE" w14:textId="77777777" w:rsidR="00D50DE8" w:rsidRPr="00EF7CF9" w:rsidRDefault="00D50DE8" w:rsidP="003B4E10">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4A9F07B"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F01ED6">
            <w:pPr>
              <w:pStyle w:val="ProductList-OfferingBody"/>
              <w:jc w:val="center"/>
            </w:pPr>
            <w:r>
              <w:t>&lt; 99,5%</w:t>
            </w:r>
          </w:p>
        </w:tc>
        <w:tc>
          <w:tcPr>
            <w:tcW w:w="5400" w:type="dxa"/>
          </w:tcPr>
          <w:p w14:paraId="4A1947F3" w14:textId="77777777" w:rsidR="00D50DE8" w:rsidRPr="00EF7CF9" w:rsidRDefault="00D50DE8" w:rsidP="00F01ED6">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F01ED6">
            <w:pPr>
              <w:pStyle w:val="ProductList-OfferingBody"/>
              <w:jc w:val="center"/>
            </w:pPr>
            <w:r>
              <w:t>&lt; 99%</w:t>
            </w:r>
          </w:p>
        </w:tc>
        <w:tc>
          <w:tcPr>
            <w:tcW w:w="5400" w:type="dxa"/>
          </w:tcPr>
          <w:p w14:paraId="4980B8F7" w14:textId="77777777" w:rsidR="00D50DE8" w:rsidRPr="00EF7CF9" w:rsidRDefault="00D50DE8" w:rsidP="00F01ED6">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F01ED6">
            <w:pPr>
              <w:pStyle w:val="ProductList-OfferingBody"/>
              <w:jc w:val="center"/>
            </w:pPr>
            <w:r>
              <w:t>&lt; 95%</w:t>
            </w:r>
          </w:p>
        </w:tc>
        <w:tc>
          <w:tcPr>
            <w:tcW w:w="5400" w:type="dxa"/>
          </w:tcPr>
          <w:p w14:paraId="0913C71E" w14:textId="77777777" w:rsidR="00D50DE8" w:rsidRPr="00EF7CF9" w:rsidRDefault="00D50DE8" w:rsidP="00F01ED6">
            <w:pPr>
              <w:pStyle w:val="ProductList-OfferingBody"/>
              <w:jc w:val="center"/>
            </w:pPr>
            <w:r>
              <w:t>100%</w:t>
            </w:r>
          </w:p>
        </w:tc>
      </w:tr>
    </w:tbl>
    <w:bookmarkStart w:id="57" w:name="_Toc75271387"/>
    <w:bookmarkStart w:id="58" w:name="_Toc45621200"/>
    <w:p w14:paraId="29E7F4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66D59E2" w14:textId="77777777" w:rsidR="007D56EB" w:rsidRDefault="007D56EB" w:rsidP="00F01ED6">
      <w:pPr>
        <w:pStyle w:val="ProductList-Offering2Heading"/>
        <w:pBdr>
          <w:between w:val="single" w:sz="4" w:space="1" w:color="auto"/>
        </w:pBdr>
        <w:tabs>
          <w:tab w:val="clear" w:pos="360"/>
          <w:tab w:val="clear" w:pos="720"/>
          <w:tab w:val="clear" w:pos="1080"/>
        </w:tabs>
        <w:outlineLvl w:val="2"/>
      </w:pPr>
      <w:bookmarkStart w:id="59" w:name="_Toc182409585"/>
      <w:r>
        <w:t>Dynamics 365 Intelligent Order Management</w:t>
      </w:r>
      <w:bookmarkEnd w:id="57"/>
      <w:bookmarkEnd w:id="59"/>
    </w:p>
    <w:p w14:paraId="3C1E0D2A" w14:textId="721828A3" w:rsidR="007D56EB" w:rsidRDefault="007D56E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 utilizador finais não consegue ler ou escrever quaisquer dados de Serviços para os quais tem a permissão adequada, mas não está incluída qualquer indisponibilidade das funcionalidades dos suplementos do Serviço.</w:t>
      </w:r>
      <w:r w:rsidR="000514F4">
        <w:rPr>
          <w:szCs w:val="18"/>
        </w:rPr>
        <w:t xml:space="preserve"> </w:t>
      </w:r>
      <w:r>
        <w:t>O Período de Indisponibilidade não inclui o Período de Indisponibilidade Agendado.</w:t>
      </w:r>
    </w:p>
    <w:p w14:paraId="609CE0C4" w14:textId="54CFCC4C" w:rsidR="007D56E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D67B4E9" w14:textId="77777777" w:rsidR="007D56EB" w:rsidRDefault="007D56EB" w:rsidP="00F01ED6">
      <w:pPr>
        <w:pStyle w:val="ProductList-Body"/>
      </w:pPr>
    </w:p>
    <w:p w14:paraId="0E945C90" w14:textId="250A7440" w:rsidR="007D56EB"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CAFB4FC" w14:textId="4371F547" w:rsidR="007D56EB"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BF1BFD" w14:textId="77777777" w:rsidR="007D56EB" w:rsidRDefault="007D56EB" w:rsidP="00F01ED6">
      <w:pPr>
        <w:pStyle w:val="ProductList-Body"/>
      </w:pPr>
    </w:p>
    <w:p w14:paraId="5DA176E0" w14:textId="77777777" w:rsidR="007D56EB" w:rsidRDefault="007D56E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F01ED6">
            <w:pPr>
              <w:pStyle w:val="ProductList-OfferingBody"/>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01ED6">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01ED6">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01ED6">
            <w:pPr>
              <w:pStyle w:val="ProductList-OfferingBody"/>
              <w:jc w:val="center"/>
            </w:pPr>
            <w:r>
              <w:t>100%</w:t>
            </w:r>
          </w:p>
        </w:tc>
      </w:tr>
    </w:tbl>
    <w:p w14:paraId="0108C996"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227EBA" w14:textId="77777777" w:rsidR="001439A9" w:rsidRDefault="001439A9" w:rsidP="00F01ED6">
      <w:pPr>
        <w:pStyle w:val="ProductList-Offering2Heading"/>
        <w:keepNext/>
        <w:pBdr>
          <w:between w:val="single" w:sz="4" w:space="1" w:color="auto"/>
        </w:pBdr>
        <w:tabs>
          <w:tab w:val="clear" w:pos="360"/>
          <w:tab w:val="clear" w:pos="720"/>
          <w:tab w:val="clear" w:pos="1080"/>
        </w:tabs>
        <w:outlineLvl w:val="2"/>
      </w:pPr>
      <w:bookmarkStart w:id="60" w:name="_Toc182409586"/>
      <w:r>
        <w:t>Dynamics 365 Remote Assist</w:t>
      </w:r>
      <w:bookmarkEnd w:id="58"/>
      <w:bookmarkEnd w:id="60"/>
    </w:p>
    <w:p w14:paraId="24648987" w14:textId="77777777" w:rsidR="001439A9" w:rsidRPr="00EF7CF9" w:rsidRDefault="001439A9" w:rsidP="00F01ED6">
      <w:pPr>
        <w:pStyle w:val="ProductList-Body"/>
        <w:rPr>
          <w:b/>
          <w:color w:val="00188F"/>
        </w:rPr>
      </w:pPr>
      <w:r>
        <w:rPr>
          <w:b/>
          <w:color w:val="00188F"/>
        </w:rPr>
        <w:t>Definições Adicionais</w:t>
      </w:r>
      <w:r w:rsidRPr="00473DD3">
        <w:rPr>
          <w:b/>
          <w:color w:val="00188F"/>
        </w:rPr>
        <w:t>:</w:t>
      </w:r>
    </w:p>
    <w:p w14:paraId="3FFCBF82" w14:textId="77777777" w:rsidR="001439A9" w:rsidRPr="00EF7CF9" w:rsidRDefault="001439A9" w:rsidP="00F01ED6">
      <w:pPr>
        <w:pStyle w:val="ProductList-Body"/>
      </w:pPr>
      <w:r>
        <w:rPr>
          <w:b/>
          <w:color w:val="00188F"/>
        </w:rPr>
        <w:t>Período de Indisponibilidade</w:t>
      </w:r>
      <w:r w:rsidRPr="00473DD3">
        <w:rPr>
          <w:b/>
          <w:color w:val="00188F"/>
        </w:rPr>
        <w:t>:</w:t>
      </w:r>
      <w:r>
        <w:t xml:space="preserve"> Qualquer período durante o qual os utilizadores finais não conseguem realizar conversações de mensagens instantâneas, ou iniciar ou participar em chamadas*.</w:t>
      </w:r>
    </w:p>
    <w:p w14:paraId="5E4BB24B" w14:textId="4A49FE03" w:rsidR="001439A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903DFCF" w14:textId="77777777" w:rsidR="001439A9" w:rsidRPr="00EF7CF9" w:rsidRDefault="001439A9" w:rsidP="00F01ED6">
      <w:pPr>
        <w:pStyle w:val="ProductList-Body"/>
      </w:pPr>
    </w:p>
    <w:p w14:paraId="44ADC5A4" w14:textId="010604CB" w:rsidR="001439A9"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983FC51" w14:textId="6221A125" w:rsidR="001439A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A6DB8F2" w14:textId="6643970B" w:rsidR="001439A9" w:rsidRPr="001A7F2A" w:rsidRDefault="001439A9" w:rsidP="00F01ED6">
      <w:pPr>
        <w:pStyle w:val="ProductList-Body"/>
        <w:rPr>
          <w:i/>
          <w:iCs/>
        </w:rPr>
      </w:pPr>
      <w:r>
        <w:rPr>
          <w:i/>
          <w:iCs/>
        </w:rPr>
        <w:t>*</w:t>
      </w:r>
      <w:r w:rsidR="006F3CBD">
        <w:rPr>
          <w:i/>
          <w:iCs/>
        </w:rPr>
        <w:t xml:space="preserve"> </w:t>
      </w:r>
      <w:r>
        <w:rPr>
          <w:i/>
          <w:iCs/>
        </w:rPr>
        <w:t>Conversações de mensagens instantâneas disponíveis apenas em algumas plataformas</w:t>
      </w:r>
    </w:p>
    <w:p w14:paraId="0E5D0604" w14:textId="77777777" w:rsidR="001439A9" w:rsidRPr="00EF7CF9" w:rsidRDefault="001439A9" w:rsidP="00F01ED6">
      <w:pPr>
        <w:pStyle w:val="ProductList-Body"/>
      </w:pPr>
    </w:p>
    <w:p w14:paraId="21BC82B9" w14:textId="77777777" w:rsidR="001439A9" w:rsidRPr="00EF7CF9" w:rsidRDefault="001439A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BFCC5F" w14:textId="77777777" w:rsidR="001439A9" w:rsidRPr="00EF7CF9" w:rsidRDefault="001439A9" w:rsidP="00F01ED6">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F01ED6">
            <w:pPr>
              <w:pStyle w:val="ProductList-OfferingBody"/>
              <w:jc w:val="center"/>
            </w:pPr>
            <w:r>
              <w:t>&lt; 99,9%</w:t>
            </w:r>
          </w:p>
        </w:tc>
        <w:tc>
          <w:tcPr>
            <w:tcW w:w="5400" w:type="dxa"/>
          </w:tcPr>
          <w:p w14:paraId="686FB99C" w14:textId="77777777" w:rsidR="001439A9" w:rsidRPr="00EF7CF9" w:rsidRDefault="001439A9" w:rsidP="00F01ED6">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F01ED6">
            <w:pPr>
              <w:pStyle w:val="ProductList-OfferingBody"/>
              <w:jc w:val="center"/>
            </w:pPr>
            <w:r>
              <w:t>&lt; 99%</w:t>
            </w:r>
          </w:p>
        </w:tc>
        <w:tc>
          <w:tcPr>
            <w:tcW w:w="5400" w:type="dxa"/>
          </w:tcPr>
          <w:p w14:paraId="21C83F15" w14:textId="77777777" w:rsidR="001439A9" w:rsidRPr="00EF7CF9" w:rsidRDefault="001439A9" w:rsidP="00F01ED6">
            <w:pPr>
              <w:pStyle w:val="ProductList-OfferingBody"/>
              <w:jc w:val="center"/>
            </w:pPr>
            <w:r>
              <w:t>50%</w:t>
            </w:r>
          </w:p>
        </w:tc>
      </w:tr>
    </w:tbl>
    <w:p w14:paraId="766849D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226BFA7" w14:textId="77777777" w:rsidR="00D50DE8" w:rsidRPr="00EF7CF9" w:rsidRDefault="00D50DE8" w:rsidP="00F01ED6">
      <w:pPr>
        <w:pStyle w:val="ProductList-Offering2Heading"/>
        <w:keepNext/>
        <w:pBdr>
          <w:between w:val="single" w:sz="4" w:space="1" w:color="auto"/>
        </w:pBdr>
        <w:tabs>
          <w:tab w:val="clear" w:pos="360"/>
          <w:tab w:val="clear" w:pos="720"/>
          <w:tab w:val="clear" w:pos="1080"/>
        </w:tabs>
        <w:outlineLvl w:val="2"/>
      </w:pPr>
      <w:bookmarkStart w:id="61" w:name="_Toc182409587"/>
      <w:r>
        <w:t>Dynamics 365 Sales Enterprise; Dynamics 365 Sales Professional</w:t>
      </w:r>
      <w:bookmarkEnd w:id="61"/>
    </w:p>
    <w:p w14:paraId="539367AE" w14:textId="528B09F4"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C07A5">
        <w:t> </w:t>
      </w:r>
      <w:r>
        <w:t>Serviços para os quais têm a permissão adequada mas não está incluída a indisponibilidade das funcionalidades dos suplementos do Serviço.</w:t>
      </w:r>
    </w:p>
    <w:p w14:paraId="58FD4D8F" w14:textId="1D9CA08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4753896" w14:textId="77777777" w:rsidR="004329C5" w:rsidRDefault="004329C5" w:rsidP="00F01ED6">
      <w:pPr>
        <w:pStyle w:val="ProductList-Body"/>
      </w:pPr>
    </w:p>
    <w:p w14:paraId="62F15F63" w14:textId="4E1D31B8"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0E53F77" w14:textId="2CE96DAA" w:rsidR="00D50DE8"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4090D09" w14:textId="77777777" w:rsidR="00657A3A" w:rsidRDefault="00657A3A" w:rsidP="00F01ED6">
      <w:pPr>
        <w:pStyle w:val="ProductList-Body"/>
        <w:rPr>
          <w:b/>
          <w:color w:val="00188F"/>
        </w:rPr>
      </w:pPr>
    </w:p>
    <w:p w14:paraId="55C0A4A7" w14:textId="5C6183C5"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831BE3"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F01ED6">
            <w:pPr>
              <w:pStyle w:val="ProductList-OfferingBody"/>
              <w:jc w:val="center"/>
            </w:pPr>
            <w:r>
              <w:t>&lt; 99,9%</w:t>
            </w:r>
          </w:p>
        </w:tc>
        <w:tc>
          <w:tcPr>
            <w:tcW w:w="5400" w:type="dxa"/>
          </w:tcPr>
          <w:p w14:paraId="29353878" w14:textId="77777777" w:rsidR="00D50DE8" w:rsidRPr="00EF7CF9" w:rsidRDefault="00D50DE8" w:rsidP="00F01ED6">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F01ED6">
            <w:pPr>
              <w:pStyle w:val="ProductList-OfferingBody"/>
              <w:jc w:val="center"/>
            </w:pPr>
            <w:r>
              <w:t>&lt; 99%</w:t>
            </w:r>
          </w:p>
        </w:tc>
        <w:tc>
          <w:tcPr>
            <w:tcW w:w="5400" w:type="dxa"/>
          </w:tcPr>
          <w:p w14:paraId="67A66F9B" w14:textId="77777777" w:rsidR="00D50DE8" w:rsidRPr="00EF7CF9" w:rsidRDefault="00D50DE8" w:rsidP="00F01ED6">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F01ED6">
            <w:pPr>
              <w:pStyle w:val="ProductList-OfferingBody"/>
              <w:jc w:val="center"/>
            </w:pPr>
            <w:r>
              <w:t>&lt; 95%</w:t>
            </w:r>
          </w:p>
        </w:tc>
        <w:tc>
          <w:tcPr>
            <w:tcW w:w="5400" w:type="dxa"/>
          </w:tcPr>
          <w:p w14:paraId="477556AD" w14:textId="77777777" w:rsidR="00D50DE8" w:rsidRPr="00EF7CF9" w:rsidRDefault="00D50DE8" w:rsidP="00F01ED6">
            <w:pPr>
              <w:pStyle w:val="ProductList-OfferingBody"/>
              <w:jc w:val="center"/>
            </w:pPr>
            <w:r>
              <w:t>100%</w:t>
            </w:r>
          </w:p>
        </w:tc>
      </w:tr>
    </w:tbl>
    <w:p w14:paraId="3F8390D5"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2B31F" w14:textId="7AE67E3D" w:rsidR="00E044E6" w:rsidRPr="00EF7CF9" w:rsidRDefault="00E044E6" w:rsidP="00F01ED6">
      <w:pPr>
        <w:pStyle w:val="ProductList-Offering2Heading"/>
        <w:pBdr>
          <w:between w:val="single" w:sz="4" w:space="1" w:color="auto"/>
        </w:pBdr>
        <w:tabs>
          <w:tab w:val="clear" w:pos="360"/>
          <w:tab w:val="clear" w:pos="720"/>
          <w:tab w:val="clear" w:pos="1080"/>
        </w:tabs>
        <w:outlineLvl w:val="2"/>
      </w:pPr>
      <w:bookmarkStart w:id="62" w:name="_Toc182409588"/>
      <w:r>
        <w:t xml:space="preserve">Dynamics 365 </w:t>
      </w:r>
      <w:bookmarkStart w:id="63" w:name="_Hlk19533710"/>
      <w:bookmarkEnd w:id="45"/>
      <w:bookmarkEnd w:id="46"/>
      <w:bookmarkEnd w:id="53"/>
      <w:r>
        <w:t>Supply Chain Management; Dynamics 365 Finance</w:t>
      </w:r>
      <w:bookmarkStart w:id="64" w:name="_Hlk51044510"/>
      <w:bookmarkEnd w:id="63"/>
      <w:r>
        <w:t>; Dynamics 365 Project Operations</w:t>
      </w:r>
      <w:bookmarkEnd w:id="62"/>
      <w:bookmarkEnd w:id="64"/>
    </w:p>
    <w:p w14:paraId="0F1E9C48" w14:textId="77777777" w:rsidR="00E044E6" w:rsidRPr="00EF7CF9" w:rsidRDefault="00E044E6" w:rsidP="00F01ED6">
      <w:pPr>
        <w:pStyle w:val="ProductList-Body"/>
      </w:pPr>
      <w:r>
        <w:rPr>
          <w:b/>
          <w:color w:val="00188F"/>
        </w:rPr>
        <w:t>Definições Adicionais</w:t>
      </w:r>
      <w:r w:rsidRPr="00473DD3">
        <w:rPr>
          <w:b/>
          <w:color w:val="00188F"/>
        </w:rPr>
        <w:t>:</w:t>
      </w:r>
    </w:p>
    <w:p w14:paraId="245E3EEA" w14:textId="51637007" w:rsidR="00E044E6" w:rsidRPr="00EF7CF9" w:rsidRDefault="00380305" w:rsidP="00F01ED6">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Inquilino Ativo</w:t>
      </w:r>
      <w:r>
        <w:rPr>
          <w:rFonts w:eastAsia="Segoe UI" w:cs="Segoe UI"/>
          <w:szCs w:val="18"/>
        </w:rPr>
        <w:t>”</w:t>
      </w:r>
      <w:r w:rsidR="00EF7CF9">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EA058CB" w14:textId="7ABF37CA" w:rsidR="00E044E6" w:rsidRPr="00EF7CF9" w:rsidRDefault="00380305" w:rsidP="00F01ED6">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Aplicação de Parceiro</w:t>
      </w:r>
      <w:r>
        <w:rPr>
          <w:rFonts w:cs="Segoe UI"/>
          <w:sz w:val="18"/>
          <w:szCs w:val="18"/>
        </w:rPr>
        <w:t>”</w:t>
      </w:r>
      <w:r w:rsidR="00EF7CF9">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787B5004" w14:textId="324B5C8D" w:rsidR="00E044E6" w:rsidRPr="00EF7CF9" w:rsidRDefault="00380305" w:rsidP="00F01ED6">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designa o total de minutos acumulados durante um Período Aplicável durante os quais um Inquilino Ativo foi implementado num Serviço de Aplicação de Parceiro utilizando uma topologia de produção de elevada disponibilidade ativa.</w:t>
      </w:r>
    </w:p>
    <w:p w14:paraId="2DB9955A" w14:textId="7022B42F" w:rsidR="00E044E6" w:rsidRPr="00EF7CF9" w:rsidRDefault="00380305" w:rsidP="00F01ED6">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designa os formulários de cliente do Serviço, os relatórios do SQL Server, operações em batch e os pontos finais da API ou as APIs de</w:t>
      </w:r>
      <w:r w:rsidR="005742DB">
        <w:rPr>
          <w:rFonts w:cs="Segoe UI"/>
          <w:szCs w:val="18"/>
        </w:rPr>
        <w:t> </w:t>
      </w:r>
      <w:r w:rsidR="00EF7CF9">
        <w:rPr>
          <w:rFonts w:cs="Segoe UI"/>
          <w:szCs w:val="18"/>
        </w:rPr>
        <w:t>retalho do Serviço utilizadas apenas para fins comerciais ou de retalho.</w:t>
      </w:r>
    </w:p>
    <w:p w14:paraId="43A366C0" w14:textId="09CB09B9" w:rsidR="00E044E6" w:rsidRPr="00EF7CF9" w:rsidRDefault="00380305" w:rsidP="00F01ED6">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designa os incrementos pelos quais os recursos informáticos e de armazenamento são adicionais ou removidos de um Serviço de Aplicação de Parceiro.</w:t>
      </w:r>
    </w:p>
    <w:p w14:paraId="6EA9B168" w14:textId="60B39088" w:rsidR="00E044E6" w:rsidRPr="00EF7CF9" w:rsidRDefault="00380305" w:rsidP="00F01ED6">
      <w:pPr>
        <w:pStyle w:val="ProductList-Body"/>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designa os recursos de autenticação, informáticos e de armazenamento que a Microsoft fornece no âmbito do Serviço.</w:t>
      </w:r>
    </w:p>
    <w:p w14:paraId="6CE66BEE" w14:textId="7DD4B86A" w:rsidR="00E044E6" w:rsidRPr="00EF7CF9" w:rsidRDefault="00E044E6"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2466F9A2" w14:textId="6C46BDD3" w:rsidR="00E044E6"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281731EB" w14:textId="77777777" w:rsidR="001A6663" w:rsidRPr="00EF7CF9" w:rsidRDefault="001A6663" w:rsidP="00F01ED6">
      <w:pPr>
        <w:pStyle w:val="ProductList-Body"/>
      </w:pPr>
    </w:p>
    <w:p w14:paraId="58388555" w14:textId="61E21337" w:rsidR="00E044E6"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1677AB57" w14:textId="77777777" w:rsidR="004329C5" w:rsidRDefault="004329C5" w:rsidP="00F01ED6">
      <w:pPr>
        <w:pStyle w:val="ProductList-Body"/>
        <w:ind w:right="99"/>
      </w:pPr>
    </w:p>
    <w:p w14:paraId="2DDA59DB" w14:textId="18EEA68A" w:rsidR="009C64EA" w:rsidRPr="00EF7CF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8F97A49" w14:textId="77777777" w:rsidR="009C64EA" w:rsidRPr="00B0776A" w:rsidRDefault="009C64EA" w:rsidP="00F01ED6">
      <w:pPr>
        <w:pStyle w:val="ProductList-Body"/>
      </w:pPr>
    </w:p>
    <w:p w14:paraId="7854FA81" w14:textId="28BC6D70" w:rsidR="00E044E6" w:rsidRPr="00EF7CF9" w:rsidRDefault="00E044E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65E0F7" w14:textId="77777777" w:rsidR="00E044E6" w:rsidRPr="00EF7CF9" w:rsidRDefault="00E044E6" w:rsidP="00F01ED6">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F01ED6">
            <w:pPr>
              <w:pStyle w:val="ProductList-OfferingBody"/>
              <w:jc w:val="center"/>
            </w:pPr>
            <w:r>
              <w:t>&lt; 99,9%</w:t>
            </w:r>
          </w:p>
        </w:tc>
        <w:tc>
          <w:tcPr>
            <w:tcW w:w="5400" w:type="dxa"/>
          </w:tcPr>
          <w:p w14:paraId="4770D45D" w14:textId="77777777" w:rsidR="00E044E6" w:rsidRPr="00EF7CF9" w:rsidRDefault="00E044E6" w:rsidP="00F01ED6">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F01ED6">
            <w:pPr>
              <w:pStyle w:val="ProductList-OfferingBody"/>
              <w:jc w:val="center"/>
            </w:pPr>
            <w:r>
              <w:t>&lt; 99%</w:t>
            </w:r>
          </w:p>
        </w:tc>
        <w:tc>
          <w:tcPr>
            <w:tcW w:w="5400" w:type="dxa"/>
          </w:tcPr>
          <w:p w14:paraId="3FCF0B29" w14:textId="77777777" w:rsidR="00E044E6" w:rsidRPr="00EF7CF9" w:rsidRDefault="00E044E6" w:rsidP="00F01ED6">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F01ED6">
            <w:pPr>
              <w:pStyle w:val="ProductList-OfferingBody"/>
              <w:jc w:val="center"/>
            </w:pPr>
            <w:r>
              <w:t>&lt; 95%</w:t>
            </w:r>
          </w:p>
        </w:tc>
        <w:tc>
          <w:tcPr>
            <w:tcW w:w="5400" w:type="dxa"/>
          </w:tcPr>
          <w:p w14:paraId="3183CDFC" w14:textId="77777777" w:rsidR="00E044E6" w:rsidRPr="00EF7CF9" w:rsidRDefault="00E044E6" w:rsidP="00F01ED6">
            <w:pPr>
              <w:pStyle w:val="ProductList-OfferingBody"/>
              <w:jc w:val="center"/>
            </w:pPr>
            <w:r>
              <w:t>100%</w:t>
            </w:r>
          </w:p>
        </w:tc>
      </w:tr>
    </w:tbl>
    <w:bookmarkStart w:id="65" w:name="_Toc457821511"/>
    <w:p w14:paraId="7AEB209A"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D0F59" w14:textId="50C907E7" w:rsidR="00774CA1" w:rsidRPr="00EF7CF9" w:rsidRDefault="00774CA1" w:rsidP="00454A0B">
      <w:pPr>
        <w:pStyle w:val="ProductList-OfferingGroupHeading"/>
        <w:pageBreakBefore/>
        <w:tabs>
          <w:tab w:val="clear" w:pos="360"/>
          <w:tab w:val="clear" w:pos="720"/>
          <w:tab w:val="clear" w:pos="1080"/>
        </w:tabs>
        <w:outlineLvl w:val="1"/>
      </w:pPr>
      <w:bookmarkStart w:id="66" w:name="_Toc182409589"/>
      <w:r>
        <w:t>Serviços do Office 365</w:t>
      </w:r>
      <w:bookmarkEnd w:id="65"/>
      <w:bookmarkEnd w:id="66"/>
    </w:p>
    <w:p w14:paraId="3BA27431" w14:textId="0D957E31" w:rsidR="00774CA1" w:rsidRPr="00EF7CF9" w:rsidRDefault="0076238C" w:rsidP="00F01ED6">
      <w:pPr>
        <w:pStyle w:val="ProductList-Offering2Heading"/>
        <w:tabs>
          <w:tab w:val="clear" w:pos="360"/>
          <w:tab w:val="clear" w:pos="720"/>
          <w:tab w:val="clear" w:pos="1080"/>
        </w:tabs>
        <w:outlineLvl w:val="2"/>
      </w:pPr>
      <w:bookmarkStart w:id="67" w:name="_Toc457821512"/>
      <w:bookmarkStart w:id="68" w:name="_Toc182409590"/>
      <w:r>
        <w:t>Duet Enterprise Online</w:t>
      </w:r>
      <w:bookmarkEnd w:id="67"/>
      <w:bookmarkEnd w:id="68"/>
    </w:p>
    <w:p w14:paraId="190CEC04" w14:textId="52467775" w:rsidR="00457D2C" w:rsidRPr="00EF7CF9" w:rsidRDefault="00457D2C"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ler ou escrever qualquer parte de uma coleção de sites do SharePoint Online para a qual têm permissões adequadas.</w:t>
      </w:r>
    </w:p>
    <w:p w14:paraId="243E6003" w14:textId="635A9981" w:rsidR="00457D2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04673B" w14:textId="77777777" w:rsidR="001A6663" w:rsidRPr="00EF7CF9" w:rsidRDefault="001A6663" w:rsidP="00F01ED6">
      <w:pPr>
        <w:pStyle w:val="ProductList-Body"/>
      </w:pPr>
    </w:p>
    <w:p w14:paraId="05C84A72" w14:textId="586F9E35" w:rsidR="00457D2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FDCA245" w14:textId="4B3EE57B" w:rsidR="00457D2C"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F6A470D" w14:textId="77777777" w:rsidR="00657A3A" w:rsidRDefault="00657A3A" w:rsidP="00F01ED6">
      <w:pPr>
        <w:pStyle w:val="ProductList-Body"/>
        <w:rPr>
          <w:b/>
          <w:color w:val="00188F"/>
        </w:rPr>
      </w:pPr>
    </w:p>
    <w:p w14:paraId="7EBB7C89" w14:textId="19EF6109" w:rsidR="00457D2C" w:rsidRPr="00EF7CF9" w:rsidRDefault="00457D2C"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C6193D" w14:textId="77777777" w:rsidR="00457D2C" w:rsidRPr="00EF7CF9" w:rsidRDefault="00457D2C" w:rsidP="00F01ED6">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F01ED6">
            <w:pPr>
              <w:pStyle w:val="ProductList-OfferingBody"/>
              <w:jc w:val="center"/>
            </w:pPr>
            <w:r>
              <w:t>&lt; 99,9%</w:t>
            </w:r>
          </w:p>
        </w:tc>
        <w:tc>
          <w:tcPr>
            <w:tcW w:w="5400" w:type="dxa"/>
          </w:tcPr>
          <w:p w14:paraId="1E55B479" w14:textId="77777777" w:rsidR="00457D2C" w:rsidRPr="00EF7CF9" w:rsidRDefault="00457D2C" w:rsidP="00F01ED6">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F01ED6">
            <w:pPr>
              <w:pStyle w:val="ProductList-OfferingBody"/>
              <w:jc w:val="center"/>
            </w:pPr>
            <w:r>
              <w:t>&lt; 99%</w:t>
            </w:r>
          </w:p>
        </w:tc>
        <w:tc>
          <w:tcPr>
            <w:tcW w:w="5400" w:type="dxa"/>
          </w:tcPr>
          <w:p w14:paraId="392B08D5" w14:textId="77777777" w:rsidR="00457D2C" w:rsidRPr="00EF7CF9" w:rsidRDefault="00457D2C" w:rsidP="00F01ED6">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F01ED6">
            <w:pPr>
              <w:pStyle w:val="ProductList-OfferingBody"/>
              <w:jc w:val="center"/>
            </w:pPr>
            <w:r>
              <w:t>&lt; 95%</w:t>
            </w:r>
          </w:p>
        </w:tc>
        <w:tc>
          <w:tcPr>
            <w:tcW w:w="5400" w:type="dxa"/>
          </w:tcPr>
          <w:p w14:paraId="7D5D6CC8" w14:textId="77777777" w:rsidR="00457D2C" w:rsidRPr="00EF7CF9" w:rsidRDefault="00457D2C" w:rsidP="00F01ED6">
            <w:pPr>
              <w:pStyle w:val="ProductList-OfferingBody"/>
              <w:jc w:val="center"/>
            </w:pPr>
            <w:r>
              <w:t>100%</w:t>
            </w:r>
          </w:p>
        </w:tc>
      </w:tr>
    </w:tbl>
    <w:p w14:paraId="054A3300" w14:textId="4805DEBA" w:rsidR="00457D2C" w:rsidRPr="00EF7CF9" w:rsidRDefault="00457D2C" w:rsidP="00F01ED6">
      <w:pPr>
        <w:pStyle w:val="ProductList-Body"/>
      </w:pPr>
    </w:p>
    <w:p w14:paraId="08E6E950" w14:textId="5C6CCB84" w:rsidR="00457D2C" w:rsidRPr="00EF7CF9" w:rsidRDefault="00457D2C" w:rsidP="00F01ED6">
      <w:pPr>
        <w:pStyle w:val="ProductList-Body"/>
      </w:pPr>
      <w:r>
        <w:rPr>
          <w:b/>
          <w:color w:val="00188F"/>
        </w:rPr>
        <w:t>Exceções de Nível de Serviço</w:t>
      </w:r>
      <w:r w:rsidRPr="00473DD3">
        <w:rPr>
          <w:b/>
          <w:color w:val="00188F"/>
        </w:rPr>
        <w:t>:</w:t>
      </w:r>
      <w:r>
        <w:t xml:space="preserve"> Este SLA não é aplicável quando a incapacidade de ler ou escrever qualquer parte de um site do SharePoint Online é</w:t>
      </w:r>
      <w:r w:rsidR="008A5485">
        <w:t> </w:t>
      </w:r>
      <w:r>
        <w:t>causada por qualquer falha de software, equipamento ou serviços de terceiros que não sejam controlados pela Microsoft, ou pelo software Microsoft que não esteja a ser executado pela própria Microsoft no âmbito do Serviço.</w:t>
      </w:r>
    </w:p>
    <w:p w14:paraId="3404DCEC" w14:textId="77777777" w:rsidR="00457D2C" w:rsidRPr="00EF7CF9" w:rsidRDefault="00457D2C" w:rsidP="00F01ED6">
      <w:pPr>
        <w:pStyle w:val="ProductList-Body"/>
      </w:pPr>
    </w:p>
    <w:p w14:paraId="0A933C0E" w14:textId="4D0B89D8" w:rsidR="00457D2C" w:rsidRPr="00EF7CF9" w:rsidRDefault="00457D2C" w:rsidP="00F01ED6">
      <w:pPr>
        <w:pStyle w:val="ProductList-Body"/>
      </w:pPr>
      <w:r>
        <w:rPr>
          <w:b/>
          <w:color w:val="00188F"/>
        </w:rPr>
        <w:t>Termos Adicionais</w:t>
      </w:r>
      <w:r w:rsidRPr="00473DD3">
        <w:rPr>
          <w:b/>
          <w:color w:val="00188F"/>
        </w:rPr>
        <w:t>:</w:t>
      </w:r>
      <w:r>
        <w:t xml:space="preserve"> O Cliente será elegível para um Crédito de Serviço para o Duet Enterprise Online apenas quando o Cliente for elegível para um Crédito de Serviço para as SLs de Utilizador do SharePoint Online Plano 2 que tenha adquirido como um pré-requisito para as suas SLs de Utilizador do Duet Enterprise Online.</w:t>
      </w:r>
    </w:p>
    <w:bookmarkStart w:id="69" w:name="_Toc457821513"/>
    <w:p w14:paraId="147464C8"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EE46691" w14:textId="63634FA2" w:rsidR="00D1684A" w:rsidRPr="00EF7CF9" w:rsidRDefault="00457D2C" w:rsidP="00F01ED6">
      <w:pPr>
        <w:pStyle w:val="ProductList-Offering2Heading"/>
        <w:outlineLvl w:val="2"/>
      </w:pPr>
      <w:bookmarkStart w:id="70" w:name="_Toc182409591"/>
      <w:r>
        <w:t>Exchange Online</w:t>
      </w:r>
      <w:bookmarkEnd w:id="69"/>
      <w:bookmarkEnd w:id="70"/>
    </w:p>
    <w:p w14:paraId="6A1192B8" w14:textId="77777777" w:rsidR="00F32BAA" w:rsidRPr="00F9236E" w:rsidRDefault="00F32BAA" w:rsidP="00F32BAA">
      <w:pPr>
        <w:pStyle w:val="ProductList-Body"/>
        <w:rPr>
          <w:rFonts w:ascii="Calibri" w:hAnsi="Calibri" w:cs="Calibri"/>
        </w:rPr>
      </w:pPr>
      <w:r>
        <w:rPr>
          <w:rFonts w:ascii="Calibri" w:hAnsi="Calibri" w:cs="Calibri"/>
          <w:b/>
          <w:color w:val="00188F"/>
        </w:rPr>
        <w:t>Período de Indisponibilidade</w:t>
      </w:r>
      <w:r w:rsidRPr="00B5590C">
        <w:rPr>
          <w:rFonts w:ascii="Calibri" w:hAnsi="Calibri" w:cs="Calibri"/>
          <w:b/>
          <w:bCs/>
        </w:rPr>
        <w:t>:</w:t>
      </w:r>
      <w:r>
        <w:rPr>
          <w:rFonts w:ascii="Calibri" w:hAnsi="Calibri" w:cs="Calibri"/>
        </w:rPr>
        <w:t xml:space="preserve"> Qualquer período de tempo durante o qual os utilizadores não conseguem enviar ou receber e-mail com o Outlook Web Access. Não existe um Período de Indisponibilidade Agendado para este serviço.</w:t>
      </w:r>
    </w:p>
    <w:p w14:paraId="3F3687FE" w14:textId="77777777" w:rsidR="00F32BAA" w:rsidRPr="00F9236E" w:rsidRDefault="00F32BAA" w:rsidP="00F32BAA">
      <w:pPr>
        <w:pStyle w:val="ProductList-Body"/>
        <w:rPr>
          <w:rFonts w:ascii="Calibri" w:hAnsi="Calibri" w:cs="Calibri"/>
        </w:rPr>
      </w:pPr>
    </w:p>
    <w:p w14:paraId="2A0BEB60" w14:textId="77777777" w:rsidR="00F32BAA" w:rsidRPr="00F9236E" w:rsidRDefault="00F32BAA" w:rsidP="00F32BAA">
      <w:pPr>
        <w:pStyle w:val="ProductList-Body"/>
        <w:rPr>
          <w:rFonts w:ascii="Calibri" w:hAnsi="Calibri" w:cs="Calibri"/>
        </w:rPr>
      </w:pPr>
      <w:r>
        <w:rPr>
          <w:rFonts w:ascii="Calibri" w:hAnsi="Calibri" w:cs="Calibri"/>
          <w:b/>
          <w:color w:val="00188F"/>
        </w:rPr>
        <w:t>Percentagem de Período de Disponibilidade</w:t>
      </w:r>
      <w:r w:rsidRPr="00E4560F">
        <w:rPr>
          <w:rFonts w:ascii="Calibri" w:hAnsi="Calibri" w:cs="Calibri"/>
          <w:b/>
          <w:bCs/>
        </w:rPr>
        <w:t>:</w:t>
      </w:r>
      <w:r>
        <w:rPr>
          <w:rFonts w:ascii="Calibri" w:hAnsi="Calibri" w:cs="Calibri"/>
        </w:rPr>
        <w:t xml:space="preserve"> A Percentagem de Período de Disponibilidade é calculada através da seguinte fórmula:</w:t>
      </w:r>
    </w:p>
    <w:p w14:paraId="26517C05" w14:textId="77777777" w:rsidR="00F32BAA" w:rsidRPr="00EF7CF9" w:rsidRDefault="00F32BAA" w:rsidP="00F32BAA">
      <w:pPr>
        <w:pStyle w:val="ProductList-Body"/>
      </w:pPr>
    </w:p>
    <w:p w14:paraId="1F0FA3DC" w14:textId="77777777" w:rsidR="00F32BAA" w:rsidRPr="00EF7CF9" w:rsidRDefault="00000000" w:rsidP="00F32B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60DF2CF" w14:textId="77777777" w:rsidR="00F32BAA" w:rsidRPr="00F9236E" w:rsidRDefault="00F32BAA" w:rsidP="00F32BAA">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213B916" w14:textId="77777777" w:rsidR="008C5EDB" w:rsidRPr="00EF7CF9" w:rsidRDefault="008C5EDB" w:rsidP="00F01ED6">
      <w:pPr>
        <w:pStyle w:val="ProductList-Body"/>
      </w:pPr>
    </w:p>
    <w:p w14:paraId="79B064B8" w14:textId="190589DB"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9798A0"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F01ED6">
            <w:pPr>
              <w:pStyle w:val="ProductList-OfferingBody"/>
              <w:jc w:val="center"/>
            </w:pPr>
            <w:r>
              <w:t>&lt; 99,9%</w:t>
            </w:r>
          </w:p>
        </w:tc>
        <w:tc>
          <w:tcPr>
            <w:tcW w:w="5400" w:type="dxa"/>
          </w:tcPr>
          <w:p w14:paraId="27088976" w14:textId="77777777" w:rsidR="008C5EDB" w:rsidRPr="00EF7CF9" w:rsidRDefault="008C5EDB" w:rsidP="00F01ED6">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F01ED6">
            <w:pPr>
              <w:pStyle w:val="ProductList-OfferingBody"/>
              <w:jc w:val="center"/>
            </w:pPr>
            <w:r>
              <w:t>&lt; 99%</w:t>
            </w:r>
          </w:p>
        </w:tc>
        <w:tc>
          <w:tcPr>
            <w:tcW w:w="5400" w:type="dxa"/>
          </w:tcPr>
          <w:p w14:paraId="46AE6A16" w14:textId="77777777" w:rsidR="008C5EDB" w:rsidRPr="00EF7CF9" w:rsidRDefault="008C5EDB" w:rsidP="00F01ED6">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F01ED6">
            <w:pPr>
              <w:pStyle w:val="ProductList-OfferingBody"/>
              <w:jc w:val="center"/>
            </w:pPr>
            <w:r>
              <w:t>&lt; 95%</w:t>
            </w:r>
          </w:p>
        </w:tc>
        <w:tc>
          <w:tcPr>
            <w:tcW w:w="5400" w:type="dxa"/>
          </w:tcPr>
          <w:p w14:paraId="68F6EC9A" w14:textId="77777777" w:rsidR="008C5EDB" w:rsidRPr="00EF7CF9" w:rsidRDefault="008C5EDB" w:rsidP="00F01ED6">
            <w:pPr>
              <w:pStyle w:val="ProductList-OfferingBody"/>
              <w:jc w:val="center"/>
            </w:pPr>
            <w:r>
              <w:t>100%</w:t>
            </w:r>
          </w:p>
        </w:tc>
      </w:tr>
    </w:tbl>
    <w:p w14:paraId="428BBD97" w14:textId="77777777" w:rsidR="00D86CF6" w:rsidRDefault="00D86CF6" w:rsidP="000C4CD3">
      <w:pPr>
        <w:pStyle w:val="ProductList-Body"/>
        <w:rPr>
          <w:rFonts w:ascii="Calibri" w:hAnsi="Calibri" w:cs="Calibri"/>
          <w:b/>
          <w:color w:val="00188F"/>
          <w:szCs w:val="18"/>
        </w:rPr>
      </w:pPr>
      <w:bookmarkStart w:id="71" w:name="_Toc457821514"/>
    </w:p>
    <w:p w14:paraId="202AA9D3" w14:textId="77777777" w:rsidR="00D86CF6" w:rsidRPr="00D81517" w:rsidRDefault="00D86CF6" w:rsidP="00D86CF6">
      <w:pPr>
        <w:pStyle w:val="ProductList-Body"/>
        <w:rPr>
          <w:rFonts w:ascii="Calibri" w:hAnsi="Calibri" w:cs="Calibri"/>
          <w:b/>
          <w:color w:val="00188F"/>
        </w:rPr>
      </w:pPr>
      <w:r>
        <w:rPr>
          <w:rFonts w:ascii="Calibri" w:hAnsi="Calibri" w:cs="Calibri"/>
          <w:b/>
          <w:color w:val="00188F"/>
        </w:rPr>
        <w:t>O nível de serviço para a Disponibilidade de OWA não se aplica aos seguintes cenários:</w:t>
      </w:r>
    </w:p>
    <w:p w14:paraId="1FC1D3FA"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Ataques Denial of Service (DoS)</w:t>
      </w:r>
    </w:p>
    <w:p w14:paraId="69EDECDE"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Configuração incorreta do Inquilino do Microsoft 365</w:t>
      </w:r>
    </w:p>
    <w:p w14:paraId="67A4F2B0"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Problemas de rede fora do Limite do Microsoft 365</w:t>
      </w:r>
    </w:p>
    <w:p w14:paraId="3DFF354F"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Exceder os limites de envio/receção do Microsoft 365</w:t>
      </w:r>
    </w:p>
    <w:p w14:paraId="02ACFCB5"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Problemas devido a Extensões (ou seja, políticas personalizadas do inquilino, aplicações)</w:t>
      </w:r>
    </w:p>
    <w:p w14:paraId="41675989"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Incidentes induzidos por terceiros (ou seja, ISP, OnPrem, etc.)</w:t>
      </w:r>
    </w:p>
    <w:p w14:paraId="299DA75F" w14:textId="77777777" w:rsidR="00D86CF6" w:rsidRDefault="00D86CF6" w:rsidP="000C4CD3">
      <w:pPr>
        <w:pStyle w:val="ProductList-Body"/>
        <w:rPr>
          <w:rFonts w:ascii="Calibri" w:hAnsi="Calibri" w:cs="Calibri"/>
          <w:b/>
          <w:color w:val="00188F"/>
          <w:szCs w:val="18"/>
        </w:rPr>
      </w:pPr>
    </w:p>
    <w:p w14:paraId="56BA3BA6" w14:textId="05F52BCA" w:rsidR="000C4CD3" w:rsidRPr="00545240" w:rsidRDefault="000C4CD3" w:rsidP="000C4CD3">
      <w:pPr>
        <w:pStyle w:val="ProductList-Body"/>
        <w:rPr>
          <w:rFonts w:ascii="Calibri" w:hAnsi="Calibri" w:cs="Calibri"/>
          <w:color w:val="00188F"/>
          <w:szCs w:val="18"/>
        </w:rPr>
      </w:pPr>
      <w:r>
        <w:rPr>
          <w:rFonts w:ascii="Calibri" w:hAnsi="Calibri" w:cs="Calibri"/>
          <w:b/>
          <w:color w:val="00188F"/>
          <w:szCs w:val="18"/>
        </w:rPr>
        <w:t>Percentagem de Período de Disponibilidade para o Tempo de Entrega do E-mail do Exchange</w:t>
      </w:r>
    </w:p>
    <w:p w14:paraId="418F4012" w14:textId="77777777" w:rsidR="000C4CD3" w:rsidRPr="00CD6A1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Interno do M365</w:t>
      </w:r>
    </w:p>
    <w:p w14:paraId="2F99DA8A" w14:textId="77777777" w:rsidR="000C4CD3" w:rsidRPr="00545240" w:rsidRDefault="000C4CD3" w:rsidP="000C4CD3">
      <w:pPr>
        <w:pStyle w:val="ProductList-Body"/>
        <w:rPr>
          <w:rFonts w:ascii="Calibri" w:hAnsi="Calibri" w:cs="Calibri"/>
          <w:szCs w:val="18"/>
        </w:rPr>
      </w:pPr>
      <w:r>
        <w:rPr>
          <w:rFonts w:ascii="Calibri" w:hAnsi="Calibri" w:cs="Calibri"/>
          <w:szCs w:val="18"/>
        </w:rPr>
        <w:t>A Entrega de E-mail Interno do M365 é definida como as 95% mensagens mais rápidas medidas em segundos ao longo de um Período Aplicável dentro do limite do Microsoft 365 e é aplicável aos seguintes cenários:</w:t>
      </w:r>
    </w:p>
    <w:p w14:paraId="3C61BE78"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Entrada na caixa de correio alojada na cloud do Microsoft 365</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até o e-mail ser entregue na caixa de correio alojada na cloud do Microsoft 365</w:t>
      </w:r>
      <w:r>
        <w:rPr>
          <w:rFonts w:ascii="Calibri" w:hAnsi="Calibri" w:cs="Calibri"/>
          <w:szCs w:val="18"/>
        </w:rPr>
        <w:t>.</w:t>
      </w:r>
    </w:p>
    <w:p w14:paraId="0CD4CF5F"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para a caixa de correio alojada na cloud do Microsoft 365 (Interinquilino excluído)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o e-mail e que este é entregue noutra caixa de correio alojada na cloud do Microsoft 365</w:t>
      </w:r>
      <w:r>
        <w:rPr>
          <w:rFonts w:ascii="Calibri" w:hAnsi="Calibri" w:cs="Calibri"/>
          <w:szCs w:val="18"/>
        </w:rPr>
        <w:t>.</w:t>
      </w:r>
    </w:p>
    <w:p w14:paraId="5B2437D1" w14:textId="77777777" w:rsidR="000C4CD3" w:rsidRPr="00545240" w:rsidRDefault="000C4CD3" w:rsidP="000C4CD3">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Caixa de correio alojada na cloud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e-mail para um destinatário externo, onde o atraso foi identificado como uma falha no limite do inquilino do Microsoft 365</w:t>
      </w:r>
      <w:r>
        <w:rPr>
          <w:rFonts w:ascii="Calibri" w:hAnsi="Calibri" w:cs="Calibri"/>
          <w:szCs w:val="18"/>
        </w:rPr>
        <w:t>.</w:t>
      </w:r>
    </w:p>
    <w:p w14:paraId="177E31A2"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Reencaminhamento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do ambiente no local de um cliente através de um conector de entrada e sai do limite do inquilino do Microsoft 365, e o atraso foi identificado como uma falha no limite do Microsoft 365.</w:t>
      </w:r>
    </w:p>
    <w:p w14:paraId="5F42CC1F" w14:textId="77777777" w:rsidR="000C4CD3" w:rsidRPr="00545240" w:rsidRDefault="000C4CD3" w:rsidP="000C4CD3">
      <w:pPr>
        <w:pStyle w:val="ProductList-Body"/>
        <w:ind w:left="720"/>
        <w:rPr>
          <w:rFonts w:ascii="Calibri" w:hAnsi="Calibri" w:cs="Calibri"/>
          <w:szCs w:val="18"/>
        </w:rPr>
      </w:pPr>
    </w:p>
    <w:p w14:paraId="209DAAEA" w14:textId="77777777" w:rsidR="000C4CD3" w:rsidRPr="00545240" w:rsidRDefault="000C4CD3" w:rsidP="000C4CD3">
      <w:pPr>
        <w:pStyle w:val="ProductList-Body"/>
        <w:rPr>
          <w:rFonts w:ascii="Calibri" w:hAnsi="Calibri" w:cs="Calibri"/>
          <w:bCs/>
          <w:szCs w:val="18"/>
        </w:rPr>
      </w:pPr>
      <w:r>
        <w:rPr>
          <w:rFonts w:ascii="Calibri" w:hAnsi="Calibri" w:cs="Calibri"/>
          <w:bCs/>
          <w:szCs w:val="18"/>
        </w:rPr>
        <w:t>A Entrega de E-mail Interno do M365 é medida e, depois, ordenada pelo tempo decorrido. Os 95% mais rápidos das medições são utilizados para criar o tempo de entrega médio para o Período Aplicável.</w:t>
      </w:r>
    </w:p>
    <w:p w14:paraId="5BB28AD4" w14:textId="77777777" w:rsidR="000C4CD3" w:rsidRPr="00545240" w:rsidRDefault="000C4CD3" w:rsidP="000C4CD3">
      <w:pPr>
        <w:pStyle w:val="ProductList-Body"/>
        <w:rPr>
          <w:rFonts w:ascii="Calibri" w:hAnsi="Calibri" w:cs="Calibri"/>
          <w:szCs w:val="18"/>
        </w:rPr>
      </w:pPr>
    </w:p>
    <w:p w14:paraId="6B84CD37" w14:textId="77777777" w:rsidR="000C4CD3" w:rsidRPr="00545240" w:rsidRDefault="000C4CD3" w:rsidP="000C4CD3">
      <w:pPr>
        <w:pStyle w:val="ProductList-Body"/>
        <w:rPr>
          <w:rFonts w:ascii="Calibri" w:hAnsi="Calibri" w:cs="Calibri"/>
          <w:szCs w:val="18"/>
        </w:rPr>
      </w:pPr>
      <w:r>
        <w:rPr>
          <w:rFonts w:ascii="Calibri" w:eastAsia="Times New Roman" w:hAnsi="Calibri" w:cs="Calibri"/>
          <w:color w:val="000000"/>
          <w:szCs w:val="18"/>
        </w:rPr>
        <w:t>Os clientes são elegíveis para um crédito de serviço quando os 95% mais rápidos da entrega de e-mail para o Período Aplicável excede os seguintes limiares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4CD3" w14:paraId="7F23A933"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C1ADE4"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Média do Tempo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38E7DD"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Serviço</w:t>
            </w:r>
          </w:p>
        </w:tc>
      </w:tr>
      <w:tr w:rsidR="000C4CD3" w14:paraId="1B010A72"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F1845"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2CF21"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4CD3" w14:paraId="1C38652C"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A68A5"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D4261"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4CD3" w14:paraId="77AC82E3"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E0BF9"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E11C4"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302633E1" w14:textId="77777777" w:rsidR="000C4CD3" w:rsidRPr="00C63332" w:rsidRDefault="000C4CD3" w:rsidP="000C4CD3">
      <w:pPr>
        <w:pStyle w:val="ProductList-Body"/>
        <w:rPr>
          <w:sz w:val="12"/>
          <w:szCs w:val="12"/>
        </w:rPr>
      </w:pPr>
    </w:p>
    <w:p w14:paraId="44A10A7E" w14:textId="77777777" w:rsidR="000C4CD3" w:rsidRPr="00C07B3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Garantida</w:t>
      </w:r>
    </w:p>
    <w:p w14:paraId="711C4FC0" w14:textId="77777777" w:rsidR="000C4CD3" w:rsidRPr="00B47C93" w:rsidRDefault="000C4CD3" w:rsidP="000C4CD3">
      <w:pPr>
        <w:pStyle w:val="ProductList-Body"/>
        <w:rPr>
          <w:rFonts w:ascii="Calibri" w:hAnsi="Calibri" w:cs="Calibri"/>
          <w:b/>
          <w:bCs/>
          <w:szCs w:val="18"/>
        </w:rPr>
      </w:pPr>
      <w:r w:rsidRPr="00B47C93">
        <w:rPr>
          <w:rFonts w:ascii="Calibri" w:hAnsi="Calibri" w:cs="Calibri"/>
        </w:rPr>
        <w:t>Entrega de E-mail Garantida</w:t>
      </w:r>
      <w:r w:rsidRPr="00B47C93">
        <w:rPr>
          <w:rFonts w:ascii="Calibri" w:hAnsi="Calibri" w:cs="Calibri"/>
          <w:bCs/>
          <w:szCs w:val="18"/>
        </w:rPr>
        <w:t xml:space="preserve"> dentro do limite do Microsoft 365 refere-se à entrega bem-sucedida de mensagens de e-mail. Não há um período de indisponibilidade agendado para este efeito e aplica-se apenas a falhas dentro do limite do M365.</w:t>
      </w:r>
    </w:p>
    <w:p w14:paraId="662C59A1" w14:textId="77777777" w:rsidR="000C4CD3" w:rsidRPr="002A0A04" w:rsidRDefault="000C4CD3" w:rsidP="000C4CD3">
      <w:pPr>
        <w:pStyle w:val="ProductList-Body"/>
        <w:rPr>
          <w:rFonts w:ascii="Calibri" w:hAnsi="Calibri" w:cs="Calibri"/>
          <w:bCs/>
        </w:rPr>
      </w:pPr>
    </w:p>
    <w:p w14:paraId="4E777072" w14:textId="77777777" w:rsidR="000C4CD3" w:rsidRPr="003B48E1" w:rsidRDefault="000C4CD3" w:rsidP="000C4CD3">
      <w:pPr>
        <w:pStyle w:val="ProductList-Body"/>
        <w:rPr>
          <w:rFonts w:ascii="Calibri" w:hAnsi="Calibri" w:cs="Calibri"/>
          <w:b/>
          <w:bCs/>
          <w:szCs w:val="18"/>
        </w:rPr>
      </w:pPr>
      <w:r>
        <w:rPr>
          <w:rFonts w:ascii="Calibri" w:hAnsi="Calibri" w:cs="Calibri"/>
          <w:szCs w:val="18"/>
        </w:rPr>
        <w:t>Percentagem de Período de Disponibilidade:</w:t>
      </w:r>
      <w:r>
        <w:rPr>
          <w:rFonts w:ascii="Calibri" w:hAnsi="Calibri" w:cs="Calibri"/>
          <w:bCs/>
          <w:szCs w:val="18"/>
        </w:rPr>
        <w:t xml:space="preserve"> A Percentagem de Período de Disponibilidade é calculada através da seguinte fórmula:</w:t>
      </w:r>
    </w:p>
    <w:p w14:paraId="5721A206" w14:textId="77777777" w:rsidR="000C4CD3" w:rsidRPr="002A0A04" w:rsidRDefault="000C4CD3" w:rsidP="000C4CD3">
      <w:pPr>
        <w:pStyle w:val="ProductList-Body"/>
        <w:rPr>
          <w:rFonts w:ascii="Calibri" w:hAnsi="Calibri" w:cs="Calibri"/>
          <w:bCs/>
        </w:rPr>
      </w:pPr>
    </w:p>
    <w:p w14:paraId="4051AD80" w14:textId="77777777" w:rsidR="000C4CD3" w:rsidRPr="002A0A04" w:rsidRDefault="00000000" w:rsidP="000C4CD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num mês-Período de Indisponibilidade</m:t>
              </m:r>
            </m:num>
            <m:den>
              <m:r>
                <w:rPr>
                  <w:rFonts w:ascii="Cambria Math" w:hAnsi="Cambria Math" w:cs="Calibri"/>
                </w:rPr>
                <m:t>Total de minutos num mês</m:t>
              </m:r>
            </m:den>
          </m:f>
          <m:r>
            <m:rPr>
              <m:sty m:val="bi"/>
            </m:rPr>
            <w:rPr>
              <w:rFonts w:ascii="Cambria Math" w:hAnsi="Cambria Math" w:cs="Calibri"/>
            </w:rPr>
            <m:t xml:space="preserve"> </m:t>
          </m:r>
          <m:r>
            <w:rPr>
              <w:rFonts w:ascii="Cambria Math" w:hAnsi="Cambria Math" w:cs="Calibri"/>
            </w:rPr>
            <m:t>x 100</m:t>
          </m:r>
        </m:oMath>
      </m:oMathPara>
    </w:p>
    <w:p w14:paraId="1879E1DE" w14:textId="77777777" w:rsidR="000C4CD3" w:rsidRPr="002A0A04" w:rsidRDefault="000C4CD3" w:rsidP="000C4CD3">
      <w:pPr>
        <w:pStyle w:val="ProductList-Body"/>
        <w:rPr>
          <w:rFonts w:ascii="Calibri" w:hAnsi="Calibri" w:cs="Calibri"/>
          <w:bCs/>
        </w:rPr>
      </w:pPr>
    </w:p>
    <w:p w14:paraId="16DAB760" w14:textId="77777777" w:rsidR="000C4CD3" w:rsidRPr="003B48E1" w:rsidRDefault="000C4CD3" w:rsidP="000C4CD3">
      <w:pPr>
        <w:pStyle w:val="ProductList-Body"/>
        <w:rPr>
          <w:rFonts w:ascii="Calibri" w:hAnsi="Calibri" w:cs="Calibri"/>
          <w:b/>
          <w:bCs/>
          <w:szCs w:val="18"/>
        </w:rPr>
      </w:pPr>
      <w:r>
        <w:rPr>
          <w:rFonts w:ascii="Calibri" w:hAnsi="Calibri" w:cs="Calibri"/>
          <w:bCs/>
          <w:szCs w:val="18"/>
        </w:rPr>
        <w:t>em que o Período de Indisponibilidade é a soma do tempo (em minutos) multiplicada pela fração do serviço que não está disponível, somada ao longo do mês do calendário.</w:t>
      </w:r>
    </w:p>
    <w:p w14:paraId="5FB99A6A" w14:textId="77777777" w:rsidR="000C4CD3" w:rsidRPr="002A0A04" w:rsidRDefault="000C4CD3" w:rsidP="000C4CD3">
      <w:pPr>
        <w:pStyle w:val="ProductList-Body"/>
        <w:rPr>
          <w:rFonts w:ascii="Calibri" w:hAnsi="Calibri" w:cs="Calibri"/>
          <w:bCs/>
        </w:rPr>
      </w:pPr>
    </w:p>
    <w:p w14:paraId="6E65CBB7" w14:textId="77777777" w:rsidR="000C4CD3" w:rsidRDefault="000C4CD3" w:rsidP="000C4CD3">
      <w:pPr>
        <w:pStyle w:val="ProductList-Body"/>
        <w:rPr>
          <w:rFonts w:ascii="Calibri" w:hAnsi="Calibri" w:cs="Calibri"/>
          <w:szCs w:val="18"/>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5A9ABA90"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2452B4F"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9B4B0B"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Crédito de Serviço </w:t>
            </w:r>
          </w:p>
        </w:tc>
      </w:tr>
      <w:tr w:rsidR="000C4CD3" w:rsidRPr="000F19E0" w14:paraId="16AE4A3A"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CF410C8"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A34CD21"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25% </w:t>
            </w:r>
          </w:p>
        </w:tc>
      </w:tr>
      <w:tr w:rsidR="000C4CD3" w:rsidRPr="000F19E0" w14:paraId="058CC25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7624160"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F72E374"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50% </w:t>
            </w:r>
          </w:p>
        </w:tc>
      </w:tr>
      <w:tr w:rsidR="000C4CD3" w:rsidRPr="000F19E0" w14:paraId="4ABE0C12"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4085E5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0182E8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77E1E142" w14:textId="77777777" w:rsidR="000C4CD3" w:rsidRPr="00C63332" w:rsidRDefault="000C4CD3" w:rsidP="000C4CD3">
      <w:pPr>
        <w:pStyle w:val="ProductList-Body"/>
        <w:rPr>
          <w:rFonts w:ascii="Calibri" w:hAnsi="Calibri" w:cs="Calibri"/>
          <w:bCs/>
          <w:sz w:val="12"/>
          <w:szCs w:val="12"/>
        </w:rPr>
      </w:pPr>
    </w:p>
    <w:p w14:paraId="2F8B8F33"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Disponibilidade de Entrada/Saída de E-mail do M365 </w:t>
      </w:r>
    </w:p>
    <w:p w14:paraId="18015280"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de Entrada/Saída de E-mail do M365 é definida como qualquer período de tempo em que o M365 não consegue aceitar ou enviar mensagens de e-mail devido a um problema no limite do M365. Não há qualquer período de indisponibilidade agendada para este serviço. </w:t>
      </w:r>
    </w:p>
    <w:p w14:paraId="05C6AA1B"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divide-se em duas categorias: </w:t>
      </w:r>
    </w:p>
    <w:p w14:paraId="31788ABA" w14:textId="77777777" w:rsidR="000C4CD3" w:rsidRPr="00D30804" w:rsidRDefault="000C4CD3" w:rsidP="000C4CD3">
      <w:pPr>
        <w:numPr>
          <w:ilvl w:val="0"/>
          <w:numId w:val="42"/>
        </w:numPr>
        <w:spacing w:after="0"/>
        <w:rPr>
          <w:rFonts w:ascii="Calibri" w:hAnsi="Calibri" w:cs="Calibri"/>
          <w:sz w:val="18"/>
          <w:szCs w:val="18"/>
        </w:rPr>
      </w:pPr>
      <w:r>
        <w:rPr>
          <w:rFonts w:ascii="Calibri" w:hAnsi="Calibri" w:cs="Calibri"/>
          <w:sz w:val="18"/>
          <w:szCs w:val="18"/>
        </w:rPr>
        <w:t>Rejeições permanentes devido a problemas com o M365 </w:t>
      </w:r>
    </w:p>
    <w:p w14:paraId="786ECEE5" w14:textId="77777777" w:rsidR="000C4CD3" w:rsidRPr="00D30804" w:rsidRDefault="000C4CD3" w:rsidP="000C4CD3">
      <w:pPr>
        <w:numPr>
          <w:ilvl w:val="0"/>
          <w:numId w:val="43"/>
        </w:numPr>
        <w:spacing w:after="0"/>
        <w:rPr>
          <w:rFonts w:ascii="Calibri" w:hAnsi="Calibri" w:cs="Calibri"/>
          <w:sz w:val="18"/>
          <w:szCs w:val="18"/>
        </w:rPr>
      </w:pPr>
      <w:r>
        <w:rPr>
          <w:rFonts w:ascii="Calibri" w:hAnsi="Calibri" w:cs="Calibri"/>
          <w:sz w:val="18"/>
          <w:szCs w:val="18"/>
        </w:rPr>
        <w:t>Rejeições transitórias devido a problemas com o M365 </w:t>
      </w:r>
    </w:p>
    <w:p w14:paraId="4E04126A" w14:textId="77777777" w:rsidR="000C4CD3" w:rsidRPr="00D30804" w:rsidRDefault="000C4CD3" w:rsidP="000C4CD3">
      <w:pPr>
        <w:spacing w:after="0"/>
        <w:rPr>
          <w:rFonts w:ascii="Calibri" w:hAnsi="Calibri" w:cs="Calibri"/>
          <w:sz w:val="18"/>
          <w:szCs w:val="18"/>
        </w:rPr>
      </w:pPr>
    </w:p>
    <w:p w14:paraId="0D4343A7"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 xml:space="preserve">Percentagem de Período de Disponibilidade </w:t>
      </w:r>
    </w:p>
    <w:p w14:paraId="68871AA8" w14:textId="77777777" w:rsidR="000C4CD3" w:rsidRPr="00D30804" w:rsidRDefault="000C4CD3" w:rsidP="000C4CD3">
      <w:pPr>
        <w:numPr>
          <w:ilvl w:val="0"/>
          <w:numId w:val="44"/>
        </w:numPr>
        <w:rPr>
          <w:rFonts w:ascii="Calibri" w:hAnsi="Calibri" w:cs="Calibri"/>
          <w:sz w:val="18"/>
          <w:szCs w:val="18"/>
        </w:rPr>
      </w:pPr>
      <w:r>
        <w:rPr>
          <w:rFonts w:ascii="Calibri" w:hAnsi="Calibri" w:cs="Calibri"/>
          <w:sz w:val="18"/>
          <w:szCs w:val="18"/>
        </w:rPr>
        <w:t>Rejeições permanentes devido a problemas com o M365 </w:t>
      </w:r>
    </w:p>
    <w:p w14:paraId="221699B1" w14:textId="77777777" w:rsidR="000C4CD3" w:rsidRDefault="000C4CD3" w:rsidP="000C4CD3">
      <w:pPr>
        <w:pStyle w:val="ProductList-Body"/>
        <w:rPr>
          <w:rFonts w:ascii="Calibri" w:hAnsi="Calibri" w:cs="Calibri"/>
        </w:rPr>
      </w:pPr>
      <w:r>
        <w:rPr>
          <w:rFonts w:ascii="Calibri" w:hAnsi="Calibri" w:cs="Calibri"/>
        </w:rPr>
        <w:t>A Percentagem de Período de Disponibilidade é calculada através da seguinte fórmula:</w:t>
      </w:r>
    </w:p>
    <w:p w14:paraId="5812DC0A" w14:textId="77777777" w:rsidR="000C4CD3" w:rsidRPr="00545240" w:rsidRDefault="000C4CD3" w:rsidP="000C4CD3">
      <w:pPr>
        <w:pStyle w:val="ProductList-Body"/>
        <w:rPr>
          <w:rFonts w:ascii="Calibri" w:hAnsi="Calibri" w:cs="Calibri"/>
        </w:rPr>
      </w:pPr>
    </w:p>
    <w:p w14:paraId="66904312" w14:textId="77777777" w:rsidR="000C4CD3" w:rsidRPr="002A0A04" w:rsidRDefault="00000000" w:rsidP="000C4CD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num mês-Período de Indisponibilidade</m:t>
              </m:r>
            </m:num>
            <m:den>
              <m:r>
                <w:rPr>
                  <w:rFonts w:ascii="Cambria Math" w:hAnsi="Cambria Math" w:cs="Calibri"/>
                </w:rPr>
                <m:t>Total de minutos num mês</m:t>
              </m:r>
            </m:den>
          </m:f>
          <m:r>
            <w:rPr>
              <w:rFonts w:ascii="Cambria Math" w:hAnsi="Cambria Math" w:cs="Calibri"/>
            </w:rPr>
            <m:t xml:space="preserve"> x 100</m:t>
          </m:r>
        </m:oMath>
      </m:oMathPara>
    </w:p>
    <w:p w14:paraId="476A08C4" w14:textId="77777777" w:rsidR="000C4CD3" w:rsidRDefault="000C4CD3" w:rsidP="000C4CD3">
      <w:pPr>
        <w:pStyle w:val="ProductList-Body"/>
      </w:pPr>
    </w:p>
    <w:p w14:paraId="49DF3160" w14:textId="77777777" w:rsidR="000C4CD3" w:rsidRDefault="000C4CD3" w:rsidP="000C4CD3">
      <w:pPr>
        <w:pStyle w:val="ProductList-Body"/>
        <w:rPr>
          <w:rFonts w:ascii="Calibri" w:hAnsi="Calibri" w:cs="Calibri"/>
        </w:rPr>
      </w:pPr>
      <w:r>
        <w:rPr>
          <w:rFonts w:ascii="Calibri" w:hAnsi="Calibri" w:cs="Calibri"/>
        </w:rPr>
        <w:t>em que o Período de Indisponibilidade é a soma do tempo (em minutos) multiplicada pela fração do serviço que não está disponível, somada ao longo do mês do calendário.</w:t>
      </w:r>
    </w:p>
    <w:p w14:paraId="1276187A" w14:textId="77777777" w:rsidR="000C4CD3" w:rsidRPr="002A0A04" w:rsidRDefault="000C4CD3" w:rsidP="000C4CD3">
      <w:pPr>
        <w:pStyle w:val="ProductList-Body"/>
        <w:rPr>
          <w:rFonts w:ascii="Calibri" w:hAnsi="Calibri" w:cs="Calibri"/>
        </w:rPr>
      </w:pPr>
    </w:p>
    <w:p w14:paraId="5795C9AD" w14:textId="77777777" w:rsidR="000C4CD3" w:rsidRPr="008F32C8" w:rsidRDefault="000C4CD3" w:rsidP="000C4CD3">
      <w:pPr>
        <w:numPr>
          <w:ilvl w:val="0"/>
          <w:numId w:val="44"/>
        </w:numPr>
        <w:rPr>
          <w:rFonts w:ascii="Calibri" w:hAnsi="Calibri" w:cs="Calibri"/>
          <w:b/>
          <w:bCs/>
          <w:sz w:val="18"/>
          <w:szCs w:val="18"/>
        </w:rPr>
      </w:pPr>
      <w:r>
        <w:rPr>
          <w:rFonts w:ascii="Calibri" w:hAnsi="Calibri" w:cs="Calibri"/>
          <w:bCs/>
          <w:sz w:val="18"/>
          <w:szCs w:val="18"/>
        </w:rPr>
        <w:t>Rejeições transitórias devido a problemas com o M365</w:t>
      </w:r>
    </w:p>
    <w:p w14:paraId="2866C505" w14:textId="77777777" w:rsidR="000C4CD3" w:rsidRDefault="000C4CD3" w:rsidP="000C4CD3">
      <w:pPr>
        <w:spacing w:after="0"/>
        <w:rPr>
          <w:rFonts w:ascii="Calibri" w:hAnsi="Calibri" w:cs="Calibri"/>
          <w:b/>
          <w:color w:val="00188F"/>
          <w:sz w:val="18"/>
        </w:rPr>
      </w:pPr>
      <w:r>
        <w:rPr>
          <w:rFonts w:ascii="Calibri" w:hAnsi="Calibri" w:cs="Calibri"/>
          <w:b/>
          <w:color w:val="00188F"/>
          <w:sz w:val="18"/>
        </w:rPr>
        <w:t>Percentagem de Período de Disponibilidade</w:t>
      </w:r>
    </w:p>
    <w:p w14:paraId="5A1062CB" w14:textId="77777777" w:rsidR="000C4CD3" w:rsidRPr="00C56933" w:rsidRDefault="000C4CD3" w:rsidP="000C4CD3">
      <w:pPr>
        <w:spacing w:after="0"/>
        <w:rPr>
          <w:rFonts w:ascii="Calibri" w:hAnsi="Calibri" w:cs="Calibri"/>
          <w:sz w:val="18"/>
        </w:rPr>
      </w:pPr>
    </w:p>
    <w:p w14:paraId="09A11C1F" w14:textId="77777777" w:rsidR="000C4CD3" w:rsidRPr="002A0A04" w:rsidRDefault="00000000" w:rsidP="000C4CD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minutos num mês-Mensagens Afetadas </m:t>
              </m:r>
            </m:num>
            <m:den>
              <m:r>
                <w:rPr>
                  <w:rFonts w:ascii="Cambria Math" w:hAnsi="Cambria Math" w:cs="Calibri"/>
                </w:rPr>
                <m:t>Total de minutos do mês</m:t>
              </m:r>
            </m:den>
          </m:f>
          <m:r>
            <w:rPr>
              <w:rFonts w:ascii="Cambria Math" w:hAnsi="Cambria Math" w:cs="Calibri"/>
            </w:rPr>
            <m:t xml:space="preserve"> x 100</m:t>
          </m:r>
        </m:oMath>
      </m:oMathPara>
    </w:p>
    <w:p w14:paraId="04C099CC" w14:textId="77777777" w:rsidR="000C4CD3" w:rsidRPr="002A0A04" w:rsidRDefault="000C4CD3" w:rsidP="000C4CD3">
      <w:pPr>
        <w:pStyle w:val="ProductList-Body"/>
        <w:rPr>
          <w:rFonts w:ascii="Calibri" w:hAnsi="Calibri" w:cs="Calibri"/>
          <w:b/>
        </w:rPr>
      </w:pPr>
    </w:p>
    <w:p w14:paraId="6BD8D3FD" w14:textId="77777777" w:rsidR="000C4CD3" w:rsidRPr="002A0A04" w:rsidRDefault="000C4CD3" w:rsidP="000C4CD3">
      <w:pPr>
        <w:pStyle w:val="ProductList-Body"/>
        <w:rPr>
          <w:rFonts w:ascii="Calibri" w:hAnsi="Calibri" w:cs="Calibri"/>
        </w:rPr>
      </w:pPr>
      <w:r>
        <w:rPr>
          <w:rFonts w:ascii="Calibri" w:hAnsi="Calibri" w:cs="Calibri"/>
        </w:rPr>
        <w:t>As mensagens afetadas são definidas como mensagens com um atraso superior a (10) minutos durante os problemas, somadas ao longo do mês do calendário.</w:t>
      </w:r>
    </w:p>
    <w:p w14:paraId="7849898B" w14:textId="77777777" w:rsidR="000C4CD3" w:rsidRPr="00DE2B55" w:rsidRDefault="000C4CD3" w:rsidP="000C4CD3">
      <w:pPr>
        <w:pStyle w:val="ProductList-Body"/>
        <w:rPr>
          <w:rFonts w:ascii="Calibri" w:hAnsi="Calibri" w:cs="Calibri"/>
        </w:rPr>
      </w:pPr>
    </w:p>
    <w:p w14:paraId="382E846B" w14:textId="77777777" w:rsidR="000C4CD3" w:rsidRPr="00C56933" w:rsidRDefault="000C4CD3" w:rsidP="000C4CD3">
      <w:pPr>
        <w:pStyle w:val="ProductList-Body"/>
        <w:rPr>
          <w:rFonts w:ascii="Calibri" w:hAnsi="Calibri" w:cs="Calibri"/>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2F50848D"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9ADE80"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F56C857"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Crédito de Serviço </w:t>
            </w:r>
          </w:p>
        </w:tc>
      </w:tr>
      <w:tr w:rsidR="000C4CD3" w:rsidRPr="000F19E0" w14:paraId="473A322C"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EF9F1FC"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5C52572"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25% </w:t>
            </w:r>
          </w:p>
        </w:tc>
      </w:tr>
      <w:tr w:rsidR="000C4CD3" w:rsidRPr="000F19E0" w14:paraId="4AC2382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EA39ED3"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610BA28"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50% </w:t>
            </w:r>
          </w:p>
        </w:tc>
      </w:tr>
      <w:tr w:rsidR="000C4CD3" w:rsidRPr="000F19E0" w14:paraId="2DA69F9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7F1A6D6"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C9A11B9"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100% </w:t>
            </w:r>
          </w:p>
        </w:tc>
      </w:tr>
    </w:tbl>
    <w:p w14:paraId="6C45B607" w14:textId="77777777" w:rsidR="000C4CD3" w:rsidRPr="00C63332" w:rsidRDefault="000C4CD3" w:rsidP="000C4CD3">
      <w:pPr>
        <w:pStyle w:val="ProductList-Body"/>
        <w:rPr>
          <w:rFonts w:ascii="Calibri" w:hAnsi="Calibri" w:cs="Calibri"/>
          <w:sz w:val="12"/>
          <w:szCs w:val="12"/>
        </w:rPr>
      </w:pPr>
    </w:p>
    <w:p w14:paraId="496517A3" w14:textId="77777777" w:rsidR="000C4CD3" w:rsidRPr="002A0A04" w:rsidRDefault="000C4CD3" w:rsidP="000C4CD3">
      <w:pPr>
        <w:pStyle w:val="ProductList-Body"/>
        <w:rPr>
          <w:rFonts w:ascii="Calibri" w:hAnsi="Calibri" w:cs="Calibri"/>
          <w:szCs w:val="18"/>
        </w:rPr>
      </w:pPr>
      <w:r>
        <w:rPr>
          <w:rFonts w:ascii="Calibri" w:hAnsi="Calibri" w:cs="Calibri"/>
          <w:szCs w:val="18"/>
        </w:rPr>
        <w:t>O Nível de Serviço de Entrega de E-mail aplica-se apenas ao e-mail comercial legítimo entregue ou enviado por contas de e-mail licenciadas do Microsoft 365 válidas. Este Nível de Serviço de Entrega de E-mail não se aplica a:</w:t>
      </w:r>
    </w:p>
    <w:p w14:paraId="4648B409"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Envios de e-mail em massa induzidos pelo cliente</w:t>
      </w:r>
    </w:p>
    <w:p w14:paraId="6E2FA5B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E-mail em massa (mailers de clientes, newsletters, etc.)</w:t>
      </w:r>
    </w:p>
    <w:p w14:paraId="34F565A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Entrega de e-mail para um arquivo</w:t>
      </w:r>
    </w:p>
    <w:p w14:paraId="4548869D"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Ataques Denial of Service (DoS)</w:t>
      </w:r>
    </w:p>
    <w:p w14:paraId="0A61069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Configuração incorreta do Inquilino do Microsoft 365</w:t>
      </w:r>
    </w:p>
    <w:p w14:paraId="47456767"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Atrasos do e-mail em que o modo de falha está dentro do limite no local dos clientes e/ou dos fornecedores de serviços terceiros.</w:t>
      </w:r>
    </w:p>
    <w:p w14:paraId="4C9CB0E3"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Latência de rede entre o Microsoft 365 e os clientes de e-mail de utilizador final</w:t>
      </w:r>
    </w:p>
    <w:p w14:paraId="323ABF7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que está limitado pelo Microsoft 365 para proteger o funcionamento do serviço ou porque um inquilino excedeu os limites definidos de envio e/ou receção de mensagens</w:t>
      </w:r>
      <w:r>
        <w:rPr>
          <w:rFonts w:ascii="Calibri" w:hAnsi="Calibri" w:cs="Calibri"/>
          <w:szCs w:val="18"/>
        </w:rPr>
        <w:t>.</w:t>
      </w:r>
    </w:p>
    <w:p w14:paraId="12D0319E"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às quais o Microsoft 365 retira prioridade para proteger o estado de funcionamento do serviço (por exemplo, mensagens grandes, mensagens enviadas para um grande número de destinatários ou listas de distribuição que contêm um número de destinatários considerável).</w:t>
      </w:r>
    </w:p>
    <w:p w14:paraId="580C37C3" w14:textId="77777777" w:rsidR="000C4CD3"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atrasadas devido a regras e políticas configuradas por clientes dispendiosos.</w:t>
      </w:r>
    </w:p>
    <w:p w14:paraId="67C42AF9" w14:textId="77777777" w:rsidR="000C4CD3" w:rsidRPr="002A0A04" w:rsidRDefault="000C4CD3" w:rsidP="000C4CD3">
      <w:pPr>
        <w:pStyle w:val="ProductList-Body"/>
        <w:rPr>
          <w:rFonts w:ascii="Calibri" w:hAnsi="Calibri" w:cs="Calibri"/>
          <w:szCs w:val="18"/>
        </w:rPr>
      </w:pPr>
    </w:p>
    <w:p w14:paraId="6BB18B50" w14:textId="77777777" w:rsidR="000C4CD3" w:rsidRPr="002A0A04" w:rsidRDefault="000C4CD3" w:rsidP="000C4CD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Termos Adicionais</w:t>
      </w:r>
      <w:r w:rsidRPr="00081E7B">
        <w:rPr>
          <w:rFonts w:ascii="Calibri" w:hAnsi="Calibri" w:cs="Calibri"/>
          <w:b/>
          <w:bCs/>
          <w:szCs w:val="18"/>
        </w:rPr>
        <w:t>:</w:t>
      </w:r>
      <w:r>
        <w:rPr>
          <w:rFonts w:ascii="Calibri" w:hAnsi="Calibri" w:cs="Calibri"/>
          <w:szCs w:val="18"/>
        </w:rPr>
        <w:t xml:space="preserve"> Consulte o Apêndice 1 – Compromisso de Nível de Serviço para Deteção e Bloqueio de Vírus, Eficácia do Spam ou Falso Positivo.</w:t>
      </w:r>
    </w:p>
    <w:p w14:paraId="56C446A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4A7A089" w14:textId="11E22E78" w:rsidR="008C5EDB" w:rsidRPr="00EF7CF9" w:rsidRDefault="008C5EDB" w:rsidP="00F01ED6">
      <w:pPr>
        <w:pStyle w:val="ProductList-Offering2Heading"/>
        <w:outlineLvl w:val="2"/>
      </w:pPr>
      <w:bookmarkStart w:id="72" w:name="_Toc182409592"/>
      <w:r>
        <w:t>Arquivo de Exchange Online</w:t>
      </w:r>
      <w:bookmarkEnd w:id="71"/>
      <w:bookmarkEnd w:id="72"/>
    </w:p>
    <w:p w14:paraId="4DC67B77" w14:textId="3471ADC7"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aceder às mensagens de e-mail armazenadas no respetivo arquivo. Não existe um Período de Indisponibilidade Agendado para este serviço.</w:t>
      </w:r>
    </w:p>
    <w:p w14:paraId="61369152" w14:textId="21C6E652"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C4BD72B" w14:textId="77777777" w:rsidR="001A6663" w:rsidRPr="00EF7CF9" w:rsidRDefault="001A6663" w:rsidP="00F01ED6">
      <w:pPr>
        <w:pStyle w:val="ProductList-Body"/>
      </w:pPr>
    </w:p>
    <w:p w14:paraId="7F84E6CC" w14:textId="172F9117"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897141A" w14:textId="63D89B6D" w:rsidR="008C5EDB"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2F7332C" w14:textId="77777777" w:rsidR="000C4CD3" w:rsidRDefault="000C4CD3" w:rsidP="00F01ED6">
      <w:pPr>
        <w:pStyle w:val="ProductList-Body"/>
        <w:rPr>
          <w:b/>
          <w:color w:val="00188F"/>
        </w:rPr>
      </w:pPr>
    </w:p>
    <w:p w14:paraId="3C328F82" w14:textId="41AADD43"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B4CBED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F01ED6">
            <w:pPr>
              <w:pStyle w:val="ProductList-OfferingBody"/>
              <w:jc w:val="center"/>
            </w:pPr>
            <w:r>
              <w:t>&lt; 99,9%</w:t>
            </w:r>
          </w:p>
        </w:tc>
        <w:tc>
          <w:tcPr>
            <w:tcW w:w="5400" w:type="dxa"/>
          </w:tcPr>
          <w:p w14:paraId="7E536980" w14:textId="77777777" w:rsidR="008C5EDB" w:rsidRPr="00EF7CF9" w:rsidRDefault="008C5EDB" w:rsidP="00F01ED6">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F01ED6">
            <w:pPr>
              <w:pStyle w:val="ProductList-OfferingBody"/>
              <w:jc w:val="center"/>
            </w:pPr>
            <w:r>
              <w:t>&lt; 99%</w:t>
            </w:r>
          </w:p>
        </w:tc>
        <w:tc>
          <w:tcPr>
            <w:tcW w:w="5400" w:type="dxa"/>
          </w:tcPr>
          <w:p w14:paraId="6019CFA5" w14:textId="77777777" w:rsidR="008C5EDB" w:rsidRPr="00EF7CF9" w:rsidRDefault="008C5EDB" w:rsidP="00F01ED6">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F01ED6">
            <w:pPr>
              <w:pStyle w:val="ProductList-OfferingBody"/>
              <w:jc w:val="center"/>
            </w:pPr>
            <w:r>
              <w:t>&lt; 95%</w:t>
            </w:r>
          </w:p>
        </w:tc>
        <w:tc>
          <w:tcPr>
            <w:tcW w:w="5400" w:type="dxa"/>
          </w:tcPr>
          <w:p w14:paraId="548DC324" w14:textId="77777777" w:rsidR="008C5EDB" w:rsidRPr="00EF7CF9" w:rsidRDefault="008C5EDB" w:rsidP="00F01ED6">
            <w:pPr>
              <w:pStyle w:val="ProductList-OfferingBody"/>
              <w:jc w:val="center"/>
            </w:pPr>
            <w:r>
              <w:t>100%</w:t>
            </w:r>
          </w:p>
        </w:tc>
      </w:tr>
    </w:tbl>
    <w:p w14:paraId="2F97468D" w14:textId="77777777" w:rsidR="008C5EDB" w:rsidRPr="00EF7CF9" w:rsidRDefault="008C5EDB" w:rsidP="00F01ED6">
      <w:pPr>
        <w:pStyle w:val="ProductList-Body"/>
        <w:tabs>
          <w:tab w:val="clear" w:pos="360"/>
          <w:tab w:val="clear" w:pos="720"/>
          <w:tab w:val="clear" w:pos="1080"/>
        </w:tabs>
      </w:pPr>
    </w:p>
    <w:p w14:paraId="597A6C6F" w14:textId="7CA5BD00" w:rsidR="008C5EDB" w:rsidRPr="00EF7CF9" w:rsidRDefault="008C5EDB" w:rsidP="00F01ED6">
      <w:pPr>
        <w:pStyle w:val="ProductList-Body"/>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bookmarkStart w:id="73" w:name="_Toc457821515"/>
    <w:p w14:paraId="07CF7D8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4F2BB32" w14:textId="123C632E" w:rsidR="008C5EDB" w:rsidRPr="00EF7CF9" w:rsidRDefault="008C5EDB" w:rsidP="00D86CF6">
      <w:pPr>
        <w:pStyle w:val="ProductList-Offering2Heading"/>
        <w:outlineLvl w:val="2"/>
      </w:pPr>
      <w:bookmarkStart w:id="74" w:name="_Toc182409593"/>
      <w:r>
        <w:t>Proteção do Exchange Online</w:t>
      </w:r>
      <w:bookmarkEnd w:id="73"/>
      <w:bookmarkEnd w:id="74"/>
    </w:p>
    <w:p w14:paraId="5F043877" w14:textId="1B6C5693"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a rede não consegue receber e processar mensagens de e-mail. Não existe um Período de Indisponibilidade Agendado para este serviço.</w:t>
      </w:r>
    </w:p>
    <w:p w14:paraId="05FECAE0" w14:textId="1F11E110"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97DC44" w14:textId="77777777" w:rsidR="001A6663" w:rsidRPr="00EF7CF9" w:rsidRDefault="001A6663" w:rsidP="00F01ED6">
      <w:pPr>
        <w:pStyle w:val="ProductList-Body"/>
      </w:pPr>
    </w:p>
    <w:p w14:paraId="5E2077ED" w14:textId="2C1F864B"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1EA5B915" w14:textId="24316967" w:rsidR="008C5EDB"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6BA2961" w14:textId="77777777" w:rsidR="008C5EDB" w:rsidRPr="00EF7CF9" w:rsidRDefault="008C5EDB" w:rsidP="00F01ED6">
      <w:pPr>
        <w:pStyle w:val="ProductList-Body"/>
      </w:pPr>
    </w:p>
    <w:p w14:paraId="3ED24468" w14:textId="551D2BFD"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797A3E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A9DF485" w14:textId="77777777" w:rsidTr="00C86427">
        <w:tc>
          <w:tcPr>
            <w:tcW w:w="5400" w:type="dxa"/>
          </w:tcPr>
          <w:p w14:paraId="2CB7FA06" w14:textId="6D5AB9F1" w:rsidR="008C5EDB" w:rsidRPr="00EF7CF9" w:rsidRDefault="008C5EDB" w:rsidP="00F01ED6">
            <w:pPr>
              <w:pStyle w:val="ProductList-OfferingBody"/>
              <w:jc w:val="center"/>
            </w:pPr>
            <w:r>
              <w:t>&lt; 99,9%</w:t>
            </w:r>
          </w:p>
        </w:tc>
        <w:tc>
          <w:tcPr>
            <w:tcW w:w="5400" w:type="dxa"/>
          </w:tcPr>
          <w:p w14:paraId="28FF70FA" w14:textId="77777777" w:rsidR="008C5EDB" w:rsidRPr="00EF7CF9" w:rsidRDefault="008C5EDB" w:rsidP="00F01ED6">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F01ED6">
            <w:pPr>
              <w:pStyle w:val="ProductList-OfferingBody"/>
              <w:jc w:val="center"/>
            </w:pPr>
            <w:r>
              <w:t>&lt; 99%</w:t>
            </w:r>
          </w:p>
        </w:tc>
        <w:tc>
          <w:tcPr>
            <w:tcW w:w="5400" w:type="dxa"/>
          </w:tcPr>
          <w:p w14:paraId="34E7D447" w14:textId="77777777" w:rsidR="008C5EDB" w:rsidRPr="00EF7CF9" w:rsidRDefault="008C5EDB" w:rsidP="00F01ED6">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F01ED6">
            <w:pPr>
              <w:pStyle w:val="ProductList-OfferingBody"/>
              <w:jc w:val="center"/>
            </w:pPr>
            <w:r>
              <w:t>&lt; 95%</w:t>
            </w:r>
          </w:p>
        </w:tc>
        <w:tc>
          <w:tcPr>
            <w:tcW w:w="5400" w:type="dxa"/>
          </w:tcPr>
          <w:p w14:paraId="2546569F" w14:textId="77777777" w:rsidR="008C5EDB" w:rsidRPr="00EF7CF9" w:rsidRDefault="008C5EDB" w:rsidP="00F01ED6">
            <w:pPr>
              <w:pStyle w:val="ProductList-OfferingBody"/>
              <w:jc w:val="center"/>
            </w:pPr>
            <w:r>
              <w:t>100%</w:t>
            </w:r>
          </w:p>
        </w:tc>
      </w:tr>
    </w:tbl>
    <w:p w14:paraId="40AEF4BA" w14:textId="77777777" w:rsidR="008C5EDB" w:rsidRPr="00EF7CF9" w:rsidRDefault="008C5EDB" w:rsidP="00F01ED6">
      <w:pPr>
        <w:pStyle w:val="ProductList-Body"/>
        <w:tabs>
          <w:tab w:val="clear" w:pos="360"/>
          <w:tab w:val="clear" w:pos="720"/>
          <w:tab w:val="clear" w:pos="1080"/>
        </w:tabs>
      </w:pPr>
    </w:p>
    <w:p w14:paraId="12EF5B77" w14:textId="285FC80B" w:rsidR="008C5EDB" w:rsidRPr="00EF7CF9" w:rsidRDefault="008C5EDB" w:rsidP="00F01ED6">
      <w:pPr>
        <w:pStyle w:val="ProductList-Body"/>
        <w:ind w:right="144"/>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p w14:paraId="39F9D7A3" w14:textId="77777777" w:rsidR="008C5EDB" w:rsidRPr="00EF7CF9" w:rsidRDefault="008C5EDB" w:rsidP="00F01ED6">
      <w:pPr>
        <w:pStyle w:val="ProductList-Body"/>
      </w:pPr>
    </w:p>
    <w:p w14:paraId="40D25923" w14:textId="363E6466" w:rsidR="008C5EDB" w:rsidRPr="00EF7CF9" w:rsidRDefault="008C5EDB" w:rsidP="00F01ED6">
      <w:pPr>
        <w:pStyle w:val="ProductList-Body"/>
      </w:pPr>
      <w:r>
        <w:rPr>
          <w:b/>
          <w:color w:val="00188F"/>
        </w:rPr>
        <w:t>Termos Adicionais</w:t>
      </w:r>
      <w:r w:rsidRPr="00473DD3">
        <w:rPr>
          <w:b/>
          <w:color w:val="00188F"/>
        </w:rPr>
        <w:t>:</w:t>
      </w:r>
      <w:r>
        <w:t xml:space="preserve"> Consulte o (i) Apêndice 1 – Compromisso de Nível de Serviço para Deteção e Bloqueio de Vírus, Eficácia do Spam ou Falso Positivo, e (ii) Apêndice 2 – Compromisso de Nível de Serviço para Período de Disponibilidade e Entrega de E-mail.</w:t>
      </w:r>
    </w:p>
    <w:bookmarkStart w:id="75" w:name="_Toc526859624"/>
    <w:bookmarkStart w:id="76" w:name="_Toc457821516"/>
    <w:p w14:paraId="467B6AAC"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DBC3626" w14:textId="77777777" w:rsidR="00F601F4" w:rsidRDefault="00F601F4" w:rsidP="00F01ED6">
      <w:pPr>
        <w:pStyle w:val="ProductList-Offering2Heading"/>
        <w:outlineLvl w:val="2"/>
      </w:pPr>
      <w:bookmarkStart w:id="77" w:name="_Toc182409594"/>
      <w:r>
        <w:t>Microsoft MyAnalytics</w:t>
      </w:r>
      <w:bookmarkEnd w:id="75"/>
      <w:bookmarkEnd w:id="77"/>
    </w:p>
    <w:p w14:paraId="48761BDB" w14:textId="77777777" w:rsidR="00F601F4" w:rsidRPr="00C27DCF" w:rsidRDefault="00F601F4" w:rsidP="00F01ED6">
      <w:pPr>
        <w:pStyle w:val="ProductList-Body"/>
        <w:rPr>
          <w:i/>
        </w:rPr>
      </w:pPr>
      <w:r>
        <w:rPr>
          <w:b/>
          <w:color w:val="00188F"/>
        </w:rPr>
        <w:t>Período de Indisponibilidade</w:t>
      </w:r>
      <w:r w:rsidRPr="00473DD3">
        <w:rPr>
          <w:b/>
          <w:color w:val="00188F"/>
        </w:rPr>
        <w:t>:</w:t>
      </w:r>
      <w:r>
        <w:t xml:space="preserve"> </w:t>
      </w:r>
      <w:r>
        <w:rPr>
          <w:iCs/>
        </w:rPr>
        <w:t>Qualquer período de tempo em que os utilizadores não conseguem aceder ao dashboard do MyAnalytics</w:t>
      </w:r>
      <w:r>
        <w:rPr>
          <w:i/>
        </w:rPr>
        <w:t>.</w:t>
      </w:r>
    </w:p>
    <w:p w14:paraId="0529F6AA" w14:textId="36F9EF92" w:rsidR="00D64CD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F78BEA" w14:textId="77777777" w:rsidR="001A6663" w:rsidRPr="00EF7CF9" w:rsidRDefault="001A6663" w:rsidP="00F01ED6">
      <w:pPr>
        <w:pStyle w:val="ProductList-Body"/>
      </w:pPr>
    </w:p>
    <w:p w14:paraId="32BFAAAA" w14:textId="7A4E025A" w:rsidR="00D64CD1"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E02FED1" w14:textId="1FB8BB2C" w:rsidR="00D64CD1"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3F68791" w14:textId="77777777" w:rsidR="00D64CD1" w:rsidRPr="00EF7CF9" w:rsidRDefault="00D64CD1" w:rsidP="00F01ED6">
      <w:pPr>
        <w:pStyle w:val="ProductList-Body"/>
      </w:pPr>
    </w:p>
    <w:p w14:paraId="33BBB864" w14:textId="77777777" w:rsidR="00D64CD1" w:rsidRPr="00EF7CF9" w:rsidRDefault="00D64CD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B69338" w14:textId="77777777" w:rsidR="00D64CD1" w:rsidRPr="00EF7CF9" w:rsidRDefault="00D64CD1" w:rsidP="00F01ED6">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F01ED6">
            <w:pPr>
              <w:pStyle w:val="ProductList-OfferingBody"/>
              <w:jc w:val="center"/>
            </w:pPr>
            <w:r>
              <w:t>&lt; 99,9%</w:t>
            </w:r>
          </w:p>
        </w:tc>
        <w:tc>
          <w:tcPr>
            <w:tcW w:w="5400" w:type="dxa"/>
          </w:tcPr>
          <w:p w14:paraId="5F8A5725" w14:textId="77777777" w:rsidR="00D64CD1" w:rsidRPr="00EF7CF9" w:rsidRDefault="00D64CD1" w:rsidP="00F01ED6">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F01ED6">
            <w:pPr>
              <w:pStyle w:val="ProductList-OfferingBody"/>
              <w:jc w:val="center"/>
            </w:pPr>
            <w:r>
              <w:t>&lt; 99%</w:t>
            </w:r>
          </w:p>
        </w:tc>
        <w:tc>
          <w:tcPr>
            <w:tcW w:w="5400" w:type="dxa"/>
          </w:tcPr>
          <w:p w14:paraId="4EFF7B52" w14:textId="77777777" w:rsidR="00D64CD1" w:rsidRPr="00EF7CF9" w:rsidRDefault="00D64CD1" w:rsidP="00F01ED6">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F01ED6">
            <w:pPr>
              <w:pStyle w:val="ProductList-OfferingBody"/>
              <w:jc w:val="center"/>
            </w:pPr>
            <w:r>
              <w:t>&lt; 95%</w:t>
            </w:r>
          </w:p>
        </w:tc>
        <w:tc>
          <w:tcPr>
            <w:tcW w:w="5400" w:type="dxa"/>
          </w:tcPr>
          <w:p w14:paraId="1D97E2C4" w14:textId="77777777" w:rsidR="00D64CD1" w:rsidRPr="00EF7CF9" w:rsidRDefault="00D64CD1" w:rsidP="00F01ED6">
            <w:pPr>
              <w:pStyle w:val="ProductList-OfferingBody"/>
              <w:keepNext/>
              <w:jc w:val="center"/>
            </w:pPr>
            <w:r>
              <w:t>100%</w:t>
            </w:r>
          </w:p>
        </w:tc>
      </w:tr>
    </w:tbl>
    <w:bookmarkStart w:id="78" w:name="Stream"/>
    <w:bookmarkStart w:id="79" w:name="_Toc526859625"/>
    <w:p w14:paraId="5C811F51"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2910355" w14:textId="77777777" w:rsidR="00D86CF6" w:rsidRDefault="00D86CF6">
      <w:pPr>
        <w:rPr>
          <w:rFonts w:asciiTheme="majorHAnsi" w:hAnsiTheme="majorHAnsi"/>
          <w:b/>
          <w:color w:val="0072C6"/>
          <w:sz w:val="28"/>
        </w:rPr>
      </w:pPr>
      <w:r>
        <w:br w:type="page"/>
      </w:r>
    </w:p>
    <w:p w14:paraId="33403EA1" w14:textId="342D227E" w:rsidR="00DD02FA" w:rsidRPr="00EF7CF9" w:rsidRDefault="00DD02FA" w:rsidP="00F01ED6">
      <w:pPr>
        <w:pStyle w:val="ProductList-Offering2Heading"/>
        <w:outlineLvl w:val="2"/>
      </w:pPr>
      <w:bookmarkStart w:id="80" w:name="_Toc182409595"/>
      <w:r>
        <w:t>Microsoft Stream (Clássico)</w:t>
      </w:r>
      <w:bookmarkEnd w:id="80"/>
    </w:p>
    <w:bookmarkEnd w:id="78"/>
    <w:p w14:paraId="42AF82E0" w14:textId="58E4B74E" w:rsidR="00DD02FA" w:rsidRPr="00EF7CF9" w:rsidRDefault="00DD02FA"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reproduzir, eliminar vídeos ou</w:t>
      </w:r>
      <w:r w:rsidR="004D0F25">
        <w:rPr>
          <w:szCs w:val="18"/>
        </w:rPr>
        <w:t> </w:t>
      </w:r>
      <w:r>
        <w:rPr>
          <w:szCs w:val="18"/>
        </w:rPr>
        <w:t>editar metadados de vídeos quando têm as permissões adequadas e o conteúdo é válido, excluindo os cenários não suportados</w:t>
      </w:r>
      <w:r>
        <w:rPr>
          <w:szCs w:val="18"/>
          <w:vertAlign w:val="superscript"/>
        </w:rPr>
        <w:t>1</w:t>
      </w:r>
      <w:r>
        <w:rPr>
          <w:szCs w:val="18"/>
        </w:rPr>
        <w:t>.</w:t>
      </w:r>
    </w:p>
    <w:p w14:paraId="4B64631C" w14:textId="7B94C70D" w:rsidR="00DD02FA" w:rsidRPr="00EF7CF9" w:rsidRDefault="00AC48A7" w:rsidP="00173870">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3B0422" w14:textId="77777777" w:rsidR="00DD02FA" w:rsidRPr="00EF7CF9" w:rsidRDefault="00DD02FA" w:rsidP="00F01ED6">
      <w:pPr>
        <w:pStyle w:val="ProductList-Body"/>
      </w:pPr>
    </w:p>
    <w:p w14:paraId="241A79D3" w14:textId="3FB251CA" w:rsidR="00DD02F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6C05597" w14:textId="7CBEBC04" w:rsidR="00DD02FA" w:rsidRPr="00EF7CF9" w:rsidRDefault="00AC48A7" w:rsidP="00F01ED6">
      <w:pPr>
        <w:pStyle w:val="ProductList-Body"/>
        <w:ind w:right="171"/>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BA055B3" w14:textId="77777777" w:rsidR="00DD02FA" w:rsidRPr="00EF7CF9" w:rsidRDefault="00DD02FA" w:rsidP="00F01ED6">
      <w:pPr>
        <w:pStyle w:val="ProductList-Body"/>
      </w:pPr>
    </w:p>
    <w:p w14:paraId="110497AF" w14:textId="77777777" w:rsidR="00DD02FA" w:rsidRPr="00EF7CF9" w:rsidRDefault="00DD02FA" w:rsidP="00F01ED6">
      <w:pPr>
        <w:pStyle w:val="ProductList-Body"/>
      </w:pPr>
      <w:r>
        <w:rPr>
          <w:b/>
          <w:color w:val="00188F"/>
        </w:rPr>
        <w:t>Compromisso de Nível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00" w:type="pct"/>
            <w:shd w:val="clear" w:color="auto" w:fill="0072C6"/>
          </w:tcPr>
          <w:p w14:paraId="2BCF05DB" w14:textId="77777777" w:rsidR="00DD02FA" w:rsidRPr="00EF7CF9" w:rsidRDefault="00DD02FA" w:rsidP="00F01ED6">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F01ED6">
            <w:pPr>
              <w:pStyle w:val="ProductList-OfferingBody"/>
              <w:jc w:val="center"/>
            </w:pPr>
            <w:r>
              <w:t>&lt; 99,9%</w:t>
            </w:r>
          </w:p>
        </w:tc>
        <w:tc>
          <w:tcPr>
            <w:tcW w:w="2500" w:type="pct"/>
          </w:tcPr>
          <w:p w14:paraId="4DFA9045" w14:textId="77777777" w:rsidR="00DD02FA" w:rsidRPr="00EF7CF9" w:rsidRDefault="00DD02FA" w:rsidP="00F01ED6">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F01ED6">
            <w:pPr>
              <w:pStyle w:val="ProductList-OfferingBody"/>
              <w:jc w:val="center"/>
            </w:pPr>
            <w:r>
              <w:t>&lt; 99%</w:t>
            </w:r>
          </w:p>
        </w:tc>
        <w:tc>
          <w:tcPr>
            <w:tcW w:w="2500" w:type="pct"/>
          </w:tcPr>
          <w:p w14:paraId="2552E48F" w14:textId="77777777" w:rsidR="00DD02FA" w:rsidRPr="00EF7CF9" w:rsidRDefault="00DD02FA" w:rsidP="00F01ED6">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F01ED6">
            <w:pPr>
              <w:pStyle w:val="ProductList-OfferingBody"/>
              <w:jc w:val="center"/>
            </w:pPr>
            <w:r>
              <w:t>&lt; 95%</w:t>
            </w:r>
          </w:p>
        </w:tc>
        <w:tc>
          <w:tcPr>
            <w:tcW w:w="2500" w:type="pct"/>
          </w:tcPr>
          <w:p w14:paraId="208A4B00" w14:textId="77777777" w:rsidR="00DD02FA" w:rsidRPr="00EF7CF9" w:rsidRDefault="00DD02FA" w:rsidP="00F01ED6">
            <w:pPr>
              <w:pStyle w:val="ProductList-OfferingBody"/>
              <w:jc w:val="center"/>
            </w:pPr>
            <w:r>
              <w:t>100%</w:t>
            </w:r>
          </w:p>
        </w:tc>
      </w:tr>
    </w:tbl>
    <w:p w14:paraId="6E2B305C" w14:textId="635977F9" w:rsidR="00DD02FA" w:rsidRPr="00EF7CF9" w:rsidRDefault="00DD02FA" w:rsidP="00F01ED6">
      <w:pPr>
        <w:pStyle w:val="ProductList-Body"/>
      </w:pPr>
    </w:p>
    <w:p w14:paraId="09EB1F1A" w14:textId="69747CF9" w:rsidR="00DD02FA" w:rsidRPr="00EF7CF9" w:rsidRDefault="00DD02FA" w:rsidP="00F01ED6">
      <w:pPr>
        <w:pStyle w:val="ProductList-Body"/>
      </w:pPr>
      <w:r>
        <w:rPr>
          <w:vertAlign w:val="superscript"/>
        </w:rPr>
        <w:t>1</w:t>
      </w:r>
      <w:r w:rsidR="006F3CBD">
        <w:rPr>
          <w:vertAlign w:val="superscript"/>
        </w:rPr>
        <w:t xml:space="preserve"> </w:t>
      </w:r>
      <w:r>
        <w:t>Os cenários não suportados podem incluir a reprodução em SO/dispositivos não suportados, problemas de rede do lado do cliente e erros de</w:t>
      </w:r>
      <w:r w:rsidR="00173870">
        <w:t> </w:t>
      </w:r>
      <w:r>
        <w:t>utilizador.</w:t>
      </w:r>
    </w:p>
    <w:p w14:paraId="34EB40C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44E1BC" w14:textId="05DE6084" w:rsidR="00F601F4" w:rsidRPr="00EF7CF9" w:rsidRDefault="00F601F4" w:rsidP="00F01ED6">
      <w:pPr>
        <w:pStyle w:val="ProductList-Offering2Heading"/>
        <w:outlineLvl w:val="2"/>
      </w:pPr>
      <w:bookmarkStart w:id="81" w:name="_Toc182409596"/>
      <w:r>
        <w:t>Microsoft Teams</w:t>
      </w:r>
      <w:bookmarkEnd w:id="79"/>
      <w:bookmarkEnd w:id="81"/>
    </w:p>
    <w:p w14:paraId="5A94C708" w14:textId="04A19251" w:rsidR="00F601F4" w:rsidRPr="00C27DCF" w:rsidRDefault="00F601F4" w:rsidP="00F01ED6">
      <w:pPr>
        <w:pStyle w:val="ProductList-Body"/>
      </w:pPr>
      <w:r>
        <w:rPr>
          <w:b/>
          <w:color w:val="00188F"/>
        </w:rPr>
        <w:t>Período de Indisponibilidade</w:t>
      </w:r>
      <w:r w:rsidRPr="00473DD3">
        <w:rPr>
          <w:b/>
          <w:color w:val="00188F"/>
        </w:rPr>
        <w:t>:</w:t>
      </w:r>
      <w:r>
        <w:t xml:space="preserve"> </w:t>
      </w:r>
      <w:r w:rsidR="007E4674">
        <w:rPr>
          <w:rFonts w:ascii="Calibri" w:hAnsi="Calibri" w:cs="Calibri"/>
        </w:rPr>
        <w:t>Qualquer período durante o qual os utilizadores finais não conseguem manter conversações de mensagens instantâneas ou iniciar reuniões online</w:t>
      </w:r>
      <w:r>
        <w:t>.</w:t>
      </w:r>
      <w:r>
        <w:rPr>
          <w:vertAlign w:val="superscript"/>
        </w:rPr>
        <w:t>1</w:t>
      </w:r>
    </w:p>
    <w:p w14:paraId="6E301193" w14:textId="7D95A798" w:rsidR="00111C8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51F1AE7" w14:textId="77777777" w:rsidR="00111C8E" w:rsidRPr="00EF7CF9" w:rsidRDefault="00111C8E" w:rsidP="00F01ED6">
      <w:pPr>
        <w:pStyle w:val="ProductList-Body"/>
      </w:pPr>
    </w:p>
    <w:p w14:paraId="5557FC57" w14:textId="3F9657ED" w:rsidR="00111C8E"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B786914" w14:textId="757A361A" w:rsidR="00111C8E" w:rsidRPr="00EF7CF9" w:rsidRDefault="00AC48A7" w:rsidP="00F01ED6">
      <w:pPr>
        <w:pStyle w:val="ProductList-Body"/>
        <w:ind w:right="198"/>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63E514" w14:textId="77777777" w:rsidR="00111C8E" w:rsidRPr="00EF7CF9" w:rsidRDefault="00111C8E" w:rsidP="00F01ED6">
      <w:pPr>
        <w:pStyle w:val="ProductList-Body"/>
      </w:pPr>
    </w:p>
    <w:p w14:paraId="24580EAD" w14:textId="77777777" w:rsidR="00111C8E" w:rsidRPr="00EF7CF9" w:rsidRDefault="00111C8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656A668" w14:textId="77777777" w:rsidR="00111C8E" w:rsidRPr="00EF7CF9" w:rsidRDefault="00111C8E" w:rsidP="00F01ED6">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F01ED6">
            <w:pPr>
              <w:pStyle w:val="ProductList-OfferingBody"/>
              <w:jc w:val="center"/>
            </w:pPr>
            <w:r>
              <w:t>&lt; 99,9%</w:t>
            </w:r>
          </w:p>
        </w:tc>
        <w:tc>
          <w:tcPr>
            <w:tcW w:w="5400" w:type="dxa"/>
          </w:tcPr>
          <w:p w14:paraId="2401154C" w14:textId="77777777" w:rsidR="00111C8E" w:rsidRPr="00EF7CF9" w:rsidRDefault="00111C8E" w:rsidP="00F01ED6">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F01ED6">
            <w:pPr>
              <w:pStyle w:val="ProductList-OfferingBody"/>
              <w:jc w:val="center"/>
            </w:pPr>
            <w:r>
              <w:t>&lt; 99%</w:t>
            </w:r>
          </w:p>
        </w:tc>
        <w:tc>
          <w:tcPr>
            <w:tcW w:w="5400" w:type="dxa"/>
          </w:tcPr>
          <w:p w14:paraId="2875A913" w14:textId="77777777" w:rsidR="00111C8E" w:rsidRPr="00EF7CF9" w:rsidRDefault="00111C8E" w:rsidP="00F01ED6">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F01ED6">
            <w:pPr>
              <w:pStyle w:val="ProductList-OfferingBody"/>
              <w:keepNext/>
              <w:jc w:val="center"/>
            </w:pPr>
            <w:r>
              <w:t>&lt; 95%</w:t>
            </w:r>
          </w:p>
        </w:tc>
        <w:tc>
          <w:tcPr>
            <w:tcW w:w="5400" w:type="dxa"/>
          </w:tcPr>
          <w:p w14:paraId="31E43A9C" w14:textId="77777777" w:rsidR="00111C8E" w:rsidRPr="00EF7CF9" w:rsidRDefault="00111C8E" w:rsidP="00F01ED6">
            <w:pPr>
              <w:pStyle w:val="ProductList-OfferingBody"/>
              <w:keepNext/>
              <w:jc w:val="center"/>
            </w:pPr>
            <w:r>
              <w:t>100%</w:t>
            </w:r>
          </w:p>
        </w:tc>
      </w:tr>
    </w:tbl>
    <w:p w14:paraId="4225F2AE" w14:textId="77777777" w:rsidR="00EA5FB1"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Pr>
            <w:rStyle w:val="Hyperlink"/>
            <w:sz w:val="16"/>
            <w:szCs w:val="16"/>
          </w:rPr>
          <w:t>Índice</w:t>
        </w:r>
      </w:hyperlink>
      <w:r>
        <w:rPr>
          <w:sz w:val="16"/>
          <w:szCs w:val="16"/>
        </w:rPr>
        <w:t xml:space="preserve"> / </w:t>
      </w:r>
      <w:hyperlink w:anchor="Definições" w:tooltip="Definições" w:history="1">
        <w:r>
          <w:rPr>
            <w:rStyle w:val="Hyperlink"/>
            <w:sz w:val="16"/>
            <w:szCs w:val="16"/>
          </w:rPr>
          <w:t>Definições</w:t>
        </w:r>
      </w:hyperlink>
    </w:p>
    <w:p w14:paraId="2C31189D" w14:textId="0488C3C2" w:rsidR="008C5EDB" w:rsidRPr="00EF7CF9" w:rsidRDefault="008E68F7" w:rsidP="00F01ED6">
      <w:pPr>
        <w:pStyle w:val="ProductList-Offering2Heading"/>
        <w:outlineLvl w:val="2"/>
      </w:pPr>
      <w:bookmarkStart w:id="82" w:name="_Hlk37926720"/>
      <w:bookmarkStart w:id="83" w:name="_Toc182409597"/>
      <w:bookmarkEnd w:id="76"/>
      <w:r>
        <w:t>Microsoft 365 Apps para Pequenas e Médias Empresas</w:t>
      </w:r>
      <w:bookmarkEnd w:id="82"/>
      <w:bookmarkEnd w:id="83"/>
    </w:p>
    <w:p w14:paraId="7289F7AE" w14:textId="59B03AB1" w:rsidR="008C5EDB" w:rsidRPr="00EF7CF9" w:rsidRDefault="008C5ED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r>
        <w:t>.</w:t>
      </w:r>
    </w:p>
    <w:p w14:paraId="53E63742" w14:textId="44FD96EE" w:rsidR="008C5ED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1E2CE05" w14:textId="77777777" w:rsidR="008C5EDB" w:rsidRPr="00EF7CF9" w:rsidRDefault="008C5EDB" w:rsidP="00F01ED6">
      <w:pPr>
        <w:pStyle w:val="ProductList-Body"/>
      </w:pPr>
    </w:p>
    <w:p w14:paraId="35067700" w14:textId="131F8435"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4100507" w14:textId="7A6B89B0" w:rsidR="008C5EDB"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59DC912" w14:textId="77777777" w:rsidR="008C5EDB" w:rsidRPr="00EF7CF9" w:rsidRDefault="008C5EDB" w:rsidP="00F01ED6">
      <w:pPr>
        <w:pStyle w:val="ProductList-Body"/>
      </w:pPr>
    </w:p>
    <w:p w14:paraId="11375DC1" w14:textId="42DEC6C3" w:rsidR="008C5EDB" w:rsidRPr="00EF7CF9" w:rsidRDefault="008C5EDB" w:rsidP="00FD4F89">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FD4F89">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71A6505D" w14:textId="77777777" w:rsidR="008C5EDB" w:rsidRPr="00EF7CF9" w:rsidRDefault="008C5EDB" w:rsidP="00FD4F89">
            <w:pPr>
              <w:pStyle w:val="ProductList-OfferingBody"/>
              <w:keepNext/>
              <w:keepLines/>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FD4F89">
            <w:pPr>
              <w:pStyle w:val="ProductList-OfferingBody"/>
              <w:keepNext/>
              <w:keepLines/>
              <w:jc w:val="center"/>
            </w:pPr>
            <w:r>
              <w:t>&lt; 99,9%</w:t>
            </w:r>
          </w:p>
        </w:tc>
        <w:tc>
          <w:tcPr>
            <w:tcW w:w="5400" w:type="dxa"/>
          </w:tcPr>
          <w:p w14:paraId="32479524" w14:textId="77777777" w:rsidR="008C5EDB" w:rsidRPr="00EF7CF9" w:rsidRDefault="008C5EDB" w:rsidP="00FD4F89">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F01ED6">
            <w:pPr>
              <w:pStyle w:val="ProductList-OfferingBody"/>
              <w:jc w:val="center"/>
            </w:pPr>
            <w:r>
              <w:t>&lt; 99%</w:t>
            </w:r>
          </w:p>
        </w:tc>
        <w:tc>
          <w:tcPr>
            <w:tcW w:w="5400" w:type="dxa"/>
          </w:tcPr>
          <w:p w14:paraId="62FA6717" w14:textId="77777777" w:rsidR="008C5EDB" w:rsidRPr="00EF7CF9" w:rsidRDefault="008C5EDB" w:rsidP="00F01ED6">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F01ED6">
            <w:pPr>
              <w:pStyle w:val="ProductList-OfferingBody"/>
              <w:jc w:val="center"/>
            </w:pPr>
            <w:r>
              <w:t>&lt; 95%</w:t>
            </w:r>
          </w:p>
        </w:tc>
        <w:tc>
          <w:tcPr>
            <w:tcW w:w="5400" w:type="dxa"/>
          </w:tcPr>
          <w:p w14:paraId="39648AB2" w14:textId="77777777" w:rsidR="008C5EDB" w:rsidRPr="00EF7CF9" w:rsidRDefault="008C5EDB" w:rsidP="00F01ED6">
            <w:pPr>
              <w:pStyle w:val="ProductList-OfferingBody"/>
              <w:jc w:val="center"/>
            </w:pPr>
            <w:r>
              <w:t>100%</w:t>
            </w:r>
          </w:p>
        </w:tc>
      </w:tr>
    </w:tbl>
    <w:bookmarkStart w:id="84" w:name="_Hlk37926721"/>
    <w:p w14:paraId="3801752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FC93245" w14:textId="484C0EE9" w:rsidR="000C13D4" w:rsidRPr="00EF7CF9" w:rsidRDefault="008E68F7" w:rsidP="00F01ED6">
      <w:pPr>
        <w:pStyle w:val="ProductList-Offering2Heading"/>
        <w:outlineLvl w:val="2"/>
      </w:pPr>
      <w:bookmarkStart w:id="85" w:name="_Toc182409598"/>
      <w:r>
        <w:t>Microsoft 365 Apps para Grandes Empresas</w:t>
      </w:r>
      <w:bookmarkEnd w:id="84"/>
      <w:bookmarkEnd w:id="85"/>
    </w:p>
    <w:p w14:paraId="449A5D9A" w14:textId="602C4994"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p>
    <w:p w14:paraId="05221919" w14:textId="49DA841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8298982" w14:textId="77777777" w:rsidR="000C13D4" w:rsidRPr="00EF7CF9" w:rsidRDefault="000C13D4" w:rsidP="00F01ED6">
      <w:pPr>
        <w:pStyle w:val="ProductList-Body"/>
      </w:pPr>
    </w:p>
    <w:p w14:paraId="3C8D0742" w14:textId="4EE916F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95C5050" w14:textId="3D12691A" w:rsidR="000C13D4" w:rsidRPr="00EF7CF9" w:rsidRDefault="00AC48A7" w:rsidP="00F01ED6">
      <w:pPr>
        <w:pStyle w:val="ProductList-Body"/>
      </w:pPr>
      <w:r>
        <w:t>em que o Período de Indisponibilidade é calculado em minutos de utilizador, ou seja, para cada Período Aplicável, o Período de Indisponibilidade é</w:t>
      </w:r>
      <w:r w:rsidR="00173870">
        <w:t> </w:t>
      </w:r>
      <w:r>
        <w:t>a soma da duração (em minutos) de cada Incidente que ocorre durante o Período Aplicável multiplicada pelo número de utilizadores afetados por esse Incidente.</w:t>
      </w:r>
    </w:p>
    <w:p w14:paraId="3581BEAA" w14:textId="77777777" w:rsidR="000C13D4" w:rsidRPr="00EF7CF9" w:rsidRDefault="000C13D4" w:rsidP="00F01ED6">
      <w:pPr>
        <w:pStyle w:val="ProductList-Body"/>
      </w:pPr>
    </w:p>
    <w:p w14:paraId="4D7C630A" w14:textId="1FC61854"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76BF93B"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F01ED6">
            <w:pPr>
              <w:pStyle w:val="ProductList-OfferingBody"/>
              <w:jc w:val="center"/>
            </w:pPr>
            <w:r>
              <w:t>&lt; 99,9%</w:t>
            </w:r>
          </w:p>
        </w:tc>
        <w:tc>
          <w:tcPr>
            <w:tcW w:w="5400" w:type="dxa"/>
          </w:tcPr>
          <w:p w14:paraId="4C9A31DC" w14:textId="77777777" w:rsidR="000C13D4" w:rsidRPr="00EF7CF9" w:rsidRDefault="000C13D4" w:rsidP="00F01ED6">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F01ED6">
            <w:pPr>
              <w:pStyle w:val="ProductList-OfferingBody"/>
              <w:jc w:val="center"/>
            </w:pPr>
            <w:r>
              <w:t>&lt; 99%</w:t>
            </w:r>
          </w:p>
        </w:tc>
        <w:tc>
          <w:tcPr>
            <w:tcW w:w="5400" w:type="dxa"/>
          </w:tcPr>
          <w:p w14:paraId="3FC2502C" w14:textId="77777777" w:rsidR="000C13D4" w:rsidRPr="00EF7CF9" w:rsidRDefault="000C13D4" w:rsidP="00F01ED6">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F01ED6">
            <w:pPr>
              <w:pStyle w:val="ProductList-OfferingBody"/>
              <w:jc w:val="center"/>
            </w:pPr>
            <w:r>
              <w:t>&lt; 95%</w:t>
            </w:r>
          </w:p>
        </w:tc>
        <w:tc>
          <w:tcPr>
            <w:tcW w:w="5400" w:type="dxa"/>
          </w:tcPr>
          <w:p w14:paraId="1EF01771" w14:textId="77777777" w:rsidR="000C13D4" w:rsidRPr="00EF7CF9" w:rsidRDefault="000C13D4" w:rsidP="00F01ED6">
            <w:pPr>
              <w:pStyle w:val="ProductList-OfferingBody"/>
              <w:jc w:val="center"/>
            </w:pPr>
            <w:r>
              <w:t>100%</w:t>
            </w:r>
          </w:p>
        </w:tc>
      </w:tr>
    </w:tbl>
    <w:bookmarkStart w:id="86" w:name="_Toc457821519"/>
    <w:p w14:paraId="0656EB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4ACF6A" w14:textId="77777777" w:rsidR="008E68F7" w:rsidRPr="00EF7CF9" w:rsidRDefault="008E68F7" w:rsidP="00F01ED6">
      <w:pPr>
        <w:pStyle w:val="ProductList-Offering2Heading"/>
        <w:outlineLvl w:val="2"/>
      </w:pPr>
      <w:bookmarkStart w:id="87" w:name="_Toc182409599"/>
      <w:r>
        <w:t>Office 365 Advanced Compliance</w:t>
      </w:r>
      <w:bookmarkEnd w:id="87"/>
    </w:p>
    <w:p w14:paraId="7A03DE1C" w14:textId="77777777" w:rsidR="008E68F7" w:rsidRPr="00EF7CF9" w:rsidRDefault="008E68F7" w:rsidP="00F01ED6">
      <w:pPr>
        <w:pStyle w:val="ProductList-Body"/>
        <w:tabs>
          <w:tab w:val="clear" w:pos="360"/>
        </w:tabs>
      </w:pPr>
      <w:r>
        <w:rPr>
          <w:b/>
          <w:bCs/>
          <w:color w:val="00188F"/>
        </w:rPr>
        <w:t>Período de Indisponibilidade</w:t>
      </w:r>
      <w:r w:rsidRPr="00473DD3">
        <w:rPr>
          <w:b/>
          <w:bCs/>
          <w:color w:val="00188F"/>
        </w:rPr>
        <w:t>:</w:t>
      </w:r>
      <w:r>
        <w:t xml:space="preserve"> Qualquer período de tempo em que o componente Cofre do Cliente do Office 365 Advanced Compliance é colocado no modo de funcionalidade reduzida devido a um problema com o Office 365.</w:t>
      </w:r>
    </w:p>
    <w:p w14:paraId="47C40BE6" w14:textId="4147C950" w:rsidR="008E68F7" w:rsidRPr="00EF7CF9" w:rsidRDefault="00AC48A7" w:rsidP="00F01ED6">
      <w:pPr>
        <w:pStyle w:val="ProductList-Body"/>
        <w:tabs>
          <w:tab w:val="clear" w:pos="360"/>
        </w:tabs>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470961B4" w14:textId="77777777" w:rsidR="008E68F7" w:rsidRPr="00EF7CF9" w:rsidRDefault="008E68F7" w:rsidP="00F01ED6">
      <w:pPr>
        <w:pStyle w:val="ProductList-Body"/>
      </w:pPr>
    </w:p>
    <w:p w14:paraId="4DF611F4" w14:textId="107C1EC0" w:rsidR="008E68F7" w:rsidRPr="00EF7CF9" w:rsidRDefault="00000000" w:rsidP="00F01ED6">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41B9621" w14:textId="5B2DF96A" w:rsidR="008E68F7" w:rsidRPr="00EF7CF9" w:rsidRDefault="00AC48A7" w:rsidP="00F01ED6">
      <w:pPr>
        <w:pStyle w:val="ProductList-Body"/>
        <w:tabs>
          <w:tab w:val="clear" w:pos="360"/>
        </w:tabs>
        <w:ind w:right="99"/>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15B5DAE" w14:textId="77777777" w:rsidR="008E68F7" w:rsidRPr="001A6663" w:rsidRDefault="008E68F7" w:rsidP="00F01ED6">
      <w:pPr>
        <w:pStyle w:val="ProductList-Body"/>
        <w:rPr>
          <w:szCs w:val="20"/>
        </w:rPr>
      </w:pPr>
    </w:p>
    <w:p w14:paraId="0925D96B" w14:textId="77777777" w:rsidR="008E68F7" w:rsidRPr="00EF7CF9" w:rsidRDefault="008E68F7"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25E5279" w14:textId="77777777" w:rsidR="008E68F7" w:rsidRPr="00EF7CF9" w:rsidRDefault="008E68F7" w:rsidP="00F01ED6">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F01ED6">
            <w:pPr>
              <w:pStyle w:val="ProductList-OfferingBody"/>
              <w:jc w:val="center"/>
            </w:pPr>
            <w:r>
              <w:t>&lt; 99,9%</w:t>
            </w:r>
          </w:p>
        </w:tc>
        <w:tc>
          <w:tcPr>
            <w:tcW w:w="5400" w:type="dxa"/>
          </w:tcPr>
          <w:p w14:paraId="0D5866E2" w14:textId="77777777" w:rsidR="008E68F7" w:rsidRPr="00EF7CF9" w:rsidRDefault="008E68F7" w:rsidP="00F01ED6">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F01ED6">
            <w:pPr>
              <w:pStyle w:val="ProductList-OfferingBody"/>
              <w:jc w:val="center"/>
            </w:pPr>
            <w:r>
              <w:t>&lt; 99%</w:t>
            </w:r>
          </w:p>
        </w:tc>
        <w:tc>
          <w:tcPr>
            <w:tcW w:w="5400" w:type="dxa"/>
          </w:tcPr>
          <w:p w14:paraId="25B6BEF5" w14:textId="77777777" w:rsidR="008E68F7" w:rsidRPr="00EF7CF9" w:rsidRDefault="008E68F7" w:rsidP="00F01ED6">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F01ED6">
            <w:pPr>
              <w:pStyle w:val="ProductList-OfferingBody"/>
              <w:jc w:val="center"/>
            </w:pPr>
            <w:r>
              <w:t>&lt; 95%</w:t>
            </w:r>
          </w:p>
        </w:tc>
        <w:tc>
          <w:tcPr>
            <w:tcW w:w="5400" w:type="dxa"/>
          </w:tcPr>
          <w:p w14:paraId="4F6ABDDE" w14:textId="77777777" w:rsidR="008E68F7" w:rsidRPr="00EF7CF9" w:rsidRDefault="008E68F7" w:rsidP="00F01ED6">
            <w:pPr>
              <w:pStyle w:val="ProductList-OfferingBody"/>
              <w:jc w:val="center"/>
            </w:pPr>
            <w:r>
              <w:t>100%</w:t>
            </w:r>
          </w:p>
        </w:tc>
      </w:tr>
    </w:tbl>
    <w:p w14:paraId="1A6E89B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FB09B" w14:textId="337A94B6" w:rsidR="000C13D4" w:rsidRPr="00EF7CF9" w:rsidRDefault="004F25AA" w:rsidP="00F01ED6">
      <w:pPr>
        <w:pStyle w:val="ProductList-Offering2Heading"/>
        <w:keepNext/>
        <w:outlineLvl w:val="2"/>
      </w:pPr>
      <w:bookmarkStart w:id="88" w:name="_Toc182409600"/>
      <w:r>
        <w:t>Office Online</w:t>
      </w:r>
      <w:bookmarkEnd w:id="86"/>
      <w:bookmarkEnd w:id="88"/>
    </w:p>
    <w:p w14:paraId="1676D4F2" w14:textId="2F89AD95"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utilizar as Aplicações Web para ver e editar quaisquer documentos do Office armazenados num site do SharePoint Online para o qual têm permissões adequadas</w:t>
      </w:r>
      <w:r>
        <w:t>.</w:t>
      </w:r>
    </w:p>
    <w:p w14:paraId="4C684597" w14:textId="445E60E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742A099" w14:textId="77777777" w:rsidR="000C13D4" w:rsidRPr="00EF7CF9" w:rsidRDefault="000C13D4" w:rsidP="00F01ED6">
      <w:pPr>
        <w:pStyle w:val="ProductList-Body"/>
      </w:pPr>
    </w:p>
    <w:p w14:paraId="3217F941" w14:textId="0AC46DF2"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CC20D20" w14:textId="2176554C" w:rsidR="000C13D4"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B7E6EA7" w14:textId="77777777" w:rsidR="000C13D4" w:rsidRPr="00EF7CF9" w:rsidRDefault="000C13D4" w:rsidP="00F01ED6">
      <w:pPr>
        <w:pStyle w:val="ProductList-Body"/>
      </w:pPr>
    </w:p>
    <w:p w14:paraId="5C67B0F7" w14:textId="7D3AF8C9"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EAB7B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F01ED6">
            <w:pPr>
              <w:pStyle w:val="ProductList-OfferingBody"/>
              <w:jc w:val="center"/>
            </w:pPr>
            <w:r>
              <w:t>&lt; 99,9%</w:t>
            </w:r>
          </w:p>
        </w:tc>
        <w:tc>
          <w:tcPr>
            <w:tcW w:w="5400" w:type="dxa"/>
          </w:tcPr>
          <w:p w14:paraId="4940133B" w14:textId="77777777" w:rsidR="000C13D4" w:rsidRPr="00EF7CF9" w:rsidRDefault="000C13D4" w:rsidP="00F01ED6">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F01ED6">
            <w:pPr>
              <w:pStyle w:val="ProductList-OfferingBody"/>
              <w:jc w:val="center"/>
            </w:pPr>
            <w:r>
              <w:t>&lt; 99%</w:t>
            </w:r>
          </w:p>
        </w:tc>
        <w:tc>
          <w:tcPr>
            <w:tcW w:w="5400" w:type="dxa"/>
          </w:tcPr>
          <w:p w14:paraId="4BBAA378" w14:textId="77777777" w:rsidR="000C13D4" w:rsidRPr="00EF7CF9" w:rsidRDefault="000C13D4" w:rsidP="00F01ED6">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F01ED6">
            <w:pPr>
              <w:pStyle w:val="ProductList-OfferingBody"/>
              <w:jc w:val="center"/>
            </w:pPr>
            <w:r>
              <w:t>&lt; 95%</w:t>
            </w:r>
          </w:p>
        </w:tc>
        <w:tc>
          <w:tcPr>
            <w:tcW w:w="5400" w:type="dxa"/>
          </w:tcPr>
          <w:p w14:paraId="46C6F630" w14:textId="77777777" w:rsidR="000C13D4" w:rsidRPr="00EF7CF9" w:rsidRDefault="000C13D4" w:rsidP="00F01ED6">
            <w:pPr>
              <w:pStyle w:val="ProductList-OfferingBody"/>
              <w:jc w:val="center"/>
            </w:pPr>
            <w:r>
              <w:t>100%</w:t>
            </w:r>
          </w:p>
        </w:tc>
      </w:tr>
    </w:tbl>
    <w:bookmarkStart w:id="89" w:name="_Toc457821520"/>
    <w:p w14:paraId="7AC09B6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4E9369" w14:textId="591EABAD" w:rsidR="000C13D4" w:rsidRPr="00EF7CF9" w:rsidRDefault="000C13D4" w:rsidP="00F01ED6">
      <w:pPr>
        <w:pStyle w:val="ProductList-Offering2Heading"/>
        <w:keepNext/>
        <w:outlineLvl w:val="2"/>
      </w:pPr>
      <w:bookmarkStart w:id="90" w:name="_Toc182409601"/>
      <w:r>
        <w:t>Vídeo do Office 365</w:t>
      </w:r>
      <w:bookmarkEnd w:id="89"/>
      <w:bookmarkEnd w:id="90"/>
    </w:p>
    <w:p w14:paraId="3A79F112" w14:textId="74321ABC"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ver ou editar vídeos no portal de vídeos quando têm as permissões adequadas e conteúdos válidos.</w:t>
      </w:r>
    </w:p>
    <w:p w14:paraId="7DAA761D" w14:textId="4054EC88"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F823C6F" w14:textId="77777777" w:rsidR="000C13D4" w:rsidRPr="00EF7CF9" w:rsidRDefault="000C13D4" w:rsidP="00F01ED6">
      <w:pPr>
        <w:pStyle w:val="ProductList-Body"/>
      </w:pPr>
    </w:p>
    <w:p w14:paraId="12553895" w14:textId="2225583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A685FD4" w14:textId="2CB76A5D"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1312E98" w14:textId="77777777" w:rsidR="000C13D4" w:rsidRPr="00EF7CF9" w:rsidRDefault="000C13D4" w:rsidP="00F01ED6">
      <w:pPr>
        <w:pStyle w:val="ProductList-Body"/>
      </w:pPr>
    </w:p>
    <w:p w14:paraId="16D54A3F" w14:textId="15B50594" w:rsidR="000C13D4" w:rsidRPr="00EF7CF9" w:rsidRDefault="000C13D4" w:rsidP="00F01ED6">
      <w:pPr>
        <w:pStyle w:val="ProductList-Body"/>
      </w:pPr>
      <w:r>
        <w:rPr>
          <w:b/>
          <w:color w:val="00188F"/>
        </w:rPr>
        <w:t>Compromisso de Nível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AC43F5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F01ED6">
            <w:pPr>
              <w:pStyle w:val="ProductList-OfferingBody"/>
              <w:jc w:val="center"/>
            </w:pPr>
            <w:r>
              <w:t>&lt; 99,9%</w:t>
            </w:r>
          </w:p>
        </w:tc>
        <w:tc>
          <w:tcPr>
            <w:tcW w:w="5400" w:type="dxa"/>
          </w:tcPr>
          <w:p w14:paraId="4BAFE0E4" w14:textId="77777777" w:rsidR="000C13D4" w:rsidRPr="00EF7CF9" w:rsidRDefault="000C13D4" w:rsidP="00F01ED6">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F01ED6">
            <w:pPr>
              <w:pStyle w:val="ProductList-OfferingBody"/>
              <w:jc w:val="center"/>
            </w:pPr>
            <w:r>
              <w:t>&lt; 99%</w:t>
            </w:r>
          </w:p>
        </w:tc>
        <w:tc>
          <w:tcPr>
            <w:tcW w:w="5400" w:type="dxa"/>
          </w:tcPr>
          <w:p w14:paraId="091B1753" w14:textId="77777777" w:rsidR="000C13D4" w:rsidRPr="00EF7CF9" w:rsidRDefault="000C13D4" w:rsidP="00F01ED6">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F01ED6">
            <w:pPr>
              <w:pStyle w:val="ProductList-OfferingBody"/>
              <w:jc w:val="center"/>
            </w:pPr>
            <w:r>
              <w:t>&lt; 95%</w:t>
            </w:r>
          </w:p>
        </w:tc>
        <w:tc>
          <w:tcPr>
            <w:tcW w:w="5400" w:type="dxa"/>
          </w:tcPr>
          <w:p w14:paraId="0F29C740" w14:textId="77777777" w:rsidR="000C13D4" w:rsidRPr="00EF7CF9" w:rsidRDefault="000C13D4" w:rsidP="00F01ED6">
            <w:pPr>
              <w:pStyle w:val="ProductList-OfferingBody"/>
              <w:jc w:val="center"/>
            </w:pPr>
            <w:r>
              <w:t>100%</w:t>
            </w:r>
          </w:p>
        </w:tc>
      </w:tr>
    </w:tbl>
    <w:bookmarkStart w:id="91" w:name="_Toc457821521"/>
    <w:p w14:paraId="79B418E6"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FA062E2" w14:textId="2C218826" w:rsidR="000C13D4" w:rsidRPr="00EF7CF9" w:rsidRDefault="000C13D4" w:rsidP="00F01ED6">
      <w:pPr>
        <w:pStyle w:val="ProductList-Offering2Heading"/>
        <w:keepNext/>
        <w:outlineLvl w:val="2"/>
      </w:pPr>
      <w:bookmarkStart w:id="92" w:name="_Toc182409602"/>
      <w:r>
        <w:t>OneDrive para Empresas</w:t>
      </w:r>
      <w:bookmarkEnd w:id="91"/>
      <w:bookmarkEnd w:id="92"/>
    </w:p>
    <w:p w14:paraId="46FE7562" w14:textId="257492A5" w:rsidR="000C13D4" w:rsidRDefault="000C13D4" w:rsidP="00F01ED6">
      <w:pPr>
        <w:pStyle w:val="ProductList-Body"/>
        <w:rPr>
          <w:szCs w:val="18"/>
        </w:rPr>
      </w:pPr>
      <w:r>
        <w:rPr>
          <w:b/>
          <w:color w:val="00188F"/>
        </w:rPr>
        <w:t>Período de Indisponibilidade</w:t>
      </w:r>
      <w:r w:rsidRPr="00473DD3">
        <w:rPr>
          <w:b/>
          <w:color w:val="00188F"/>
        </w:rPr>
        <w:t>:</w:t>
      </w:r>
      <w:r>
        <w:t xml:space="preserve"> </w:t>
      </w:r>
      <w:r>
        <w:rPr>
          <w:szCs w:val="18"/>
        </w:rPr>
        <w:t>Qualquer período de tempo durante o qual os utilizadores não conseguem ver ou editar os ficheiros armazenados no armazenamento pessoal do OneDrive para Empresas.</w:t>
      </w:r>
    </w:p>
    <w:p w14:paraId="6DEA7661" w14:textId="5867389A" w:rsidR="000C13D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66E8318" w14:textId="77777777" w:rsidR="001A6663" w:rsidRPr="00EF7CF9" w:rsidRDefault="001A6663" w:rsidP="00F01ED6">
      <w:pPr>
        <w:pStyle w:val="ProductList-Body"/>
      </w:pPr>
    </w:p>
    <w:p w14:paraId="76BB190F" w14:textId="568E85BB"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2BD4BBD" w14:textId="30B50E1C"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30F4BBB" w14:textId="77777777" w:rsidR="000C13D4" w:rsidRPr="00EF7CF9" w:rsidRDefault="000C13D4" w:rsidP="00F01ED6">
      <w:pPr>
        <w:pStyle w:val="ProductList-Body"/>
      </w:pPr>
    </w:p>
    <w:p w14:paraId="6CD91602" w14:textId="66238D87"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03F76E"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F01ED6">
            <w:pPr>
              <w:pStyle w:val="ProductList-OfferingBody"/>
              <w:jc w:val="center"/>
            </w:pPr>
            <w:r>
              <w:t>&lt; 99,9%</w:t>
            </w:r>
          </w:p>
        </w:tc>
        <w:tc>
          <w:tcPr>
            <w:tcW w:w="5400" w:type="dxa"/>
          </w:tcPr>
          <w:p w14:paraId="21B08C9D" w14:textId="77777777" w:rsidR="000C13D4" w:rsidRPr="00EF7CF9" w:rsidRDefault="000C13D4" w:rsidP="00F01ED6">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F01ED6">
            <w:pPr>
              <w:pStyle w:val="ProductList-OfferingBody"/>
              <w:jc w:val="center"/>
            </w:pPr>
            <w:r>
              <w:t>&lt; 99%</w:t>
            </w:r>
          </w:p>
        </w:tc>
        <w:tc>
          <w:tcPr>
            <w:tcW w:w="5400" w:type="dxa"/>
          </w:tcPr>
          <w:p w14:paraId="2607D833" w14:textId="77777777" w:rsidR="000C13D4" w:rsidRPr="00EF7CF9" w:rsidRDefault="000C13D4" w:rsidP="00F01ED6">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F01ED6">
            <w:pPr>
              <w:pStyle w:val="ProductList-OfferingBody"/>
              <w:keepNext/>
              <w:jc w:val="center"/>
            </w:pPr>
            <w:r>
              <w:t>&lt; 95%</w:t>
            </w:r>
          </w:p>
        </w:tc>
        <w:tc>
          <w:tcPr>
            <w:tcW w:w="5400" w:type="dxa"/>
          </w:tcPr>
          <w:p w14:paraId="1C49AAE4" w14:textId="77777777" w:rsidR="000C13D4" w:rsidRPr="00EF7CF9" w:rsidRDefault="000C13D4" w:rsidP="00F01ED6">
            <w:pPr>
              <w:pStyle w:val="ProductList-OfferingBody"/>
              <w:jc w:val="center"/>
            </w:pPr>
            <w:r>
              <w:t>100%</w:t>
            </w:r>
          </w:p>
        </w:tc>
      </w:tr>
    </w:tbl>
    <w:bookmarkStart w:id="93" w:name="_Toc457821522"/>
    <w:p w14:paraId="3CAECC3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5750250" w14:textId="4BB04D05" w:rsidR="00C86427" w:rsidRPr="00EF7CF9" w:rsidRDefault="00C86427" w:rsidP="00173870">
      <w:pPr>
        <w:pStyle w:val="ProductList-Offering2Heading"/>
        <w:keepNext/>
        <w:keepLines/>
        <w:outlineLvl w:val="2"/>
      </w:pPr>
      <w:bookmarkStart w:id="94" w:name="_Toc182409603"/>
      <w:r>
        <w:t>Project</w:t>
      </w:r>
      <w:bookmarkEnd w:id="93"/>
      <w:bookmarkEnd w:id="94"/>
    </w:p>
    <w:p w14:paraId="14E68B6F" w14:textId="0B3F1D78"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com o Project Web App para a qual têm permissões adequadas.</w:t>
      </w:r>
    </w:p>
    <w:p w14:paraId="251BAB3A" w14:textId="6B53635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184A950" w14:textId="77777777" w:rsidR="00C86427" w:rsidRPr="00EF7CF9" w:rsidRDefault="00C86427" w:rsidP="00F01ED6">
      <w:pPr>
        <w:pStyle w:val="ProductList-Body"/>
      </w:pPr>
    </w:p>
    <w:p w14:paraId="4960225A" w14:textId="6BAC7C8D" w:rsidR="00C86427"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812AAB2" w14:textId="79181511" w:rsidR="00C86427"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29909F8" w14:textId="1AF0D3B0"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3BEEC3"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F01ED6">
            <w:pPr>
              <w:pStyle w:val="ProductList-OfferingBody"/>
              <w:jc w:val="center"/>
            </w:pPr>
            <w:r>
              <w:t>&lt; 99,9%</w:t>
            </w:r>
          </w:p>
        </w:tc>
        <w:tc>
          <w:tcPr>
            <w:tcW w:w="5400" w:type="dxa"/>
          </w:tcPr>
          <w:p w14:paraId="1EAC3FA5" w14:textId="77777777" w:rsidR="00C86427" w:rsidRPr="00EF7CF9" w:rsidRDefault="00C86427" w:rsidP="00F01ED6">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F01ED6">
            <w:pPr>
              <w:pStyle w:val="ProductList-OfferingBody"/>
              <w:jc w:val="center"/>
            </w:pPr>
            <w:r>
              <w:t>&lt; 99%</w:t>
            </w:r>
          </w:p>
        </w:tc>
        <w:tc>
          <w:tcPr>
            <w:tcW w:w="5400" w:type="dxa"/>
          </w:tcPr>
          <w:p w14:paraId="38929F8D" w14:textId="77777777" w:rsidR="00C86427" w:rsidRPr="00EF7CF9" w:rsidRDefault="00C86427" w:rsidP="00F01ED6">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F01ED6">
            <w:pPr>
              <w:pStyle w:val="ProductList-OfferingBody"/>
              <w:jc w:val="center"/>
            </w:pPr>
            <w:r>
              <w:t>&lt; 95%</w:t>
            </w:r>
          </w:p>
        </w:tc>
        <w:tc>
          <w:tcPr>
            <w:tcW w:w="5400" w:type="dxa"/>
          </w:tcPr>
          <w:p w14:paraId="4C6598BC" w14:textId="77777777" w:rsidR="00C86427" w:rsidRPr="00EF7CF9" w:rsidRDefault="00C86427" w:rsidP="00F01ED6">
            <w:pPr>
              <w:pStyle w:val="ProductList-OfferingBody"/>
              <w:jc w:val="center"/>
            </w:pPr>
            <w:r>
              <w:t>100%</w:t>
            </w:r>
          </w:p>
        </w:tc>
      </w:tr>
    </w:tbl>
    <w:bookmarkStart w:id="95" w:name="_Toc457821523"/>
    <w:p w14:paraId="36996923"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051EC5D" w14:textId="20237168" w:rsidR="00C86427" w:rsidRPr="00EF7CF9" w:rsidRDefault="00C86427" w:rsidP="00F01ED6">
      <w:pPr>
        <w:pStyle w:val="ProductList-Offering2Heading"/>
        <w:outlineLvl w:val="2"/>
      </w:pPr>
      <w:bookmarkStart w:id="96" w:name="_Toc182409604"/>
      <w:r>
        <w:t>SharePoint Online</w:t>
      </w:r>
      <w:bookmarkEnd w:id="95"/>
      <w:bookmarkEnd w:id="96"/>
    </w:p>
    <w:p w14:paraId="41E58B9E" w14:textId="0F2B3227"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para a qual têm permissões adequadas.</w:t>
      </w:r>
    </w:p>
    <w:p w14:paraId="4F12AEC0" w14:textId="6785C6E5"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1AC6E7F3" w14:textId="77777777" w:rsidR="00C86427" w:rsidRPr="00EF7CF9" w:rsidRDefault="00C86427" w:rsidP="00F01ED6">
      <w:pPr>
        <w:pStyle w:val="ProductList-Body"/>
      </w:pPr>
    </w:p>
    <w:p w14:paraId="5BBD13D7" w14:textId="782DD4B8" w:rsidR="00C86427" w:rsidRPr="00FB0A40" w:rsidRDefault="00000000" w:rsidP="00F01ED6">
      <w:pPr>
        <w:spacing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FAF12A4" w14:textId="414D53A1" w:rsidR="00C86427"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A6B2139" w14:textId="77777777" w:rsidR="00C86427" w:rsidRPr="00EF7CF9" w:rsidRDefault="00C86427" w:rsidP="00F01ED6">
      <w:pPr>
        <w:pStyle w:val="ProductList-Body"/>
      </w:pPr>
    </w:p>
    <w:p w14:paraId="7AE68D73" w14:textId="4FB1EB46"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0C3AB"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F01ED6">
            <w:pPr>
              <w:pStyle w:val="ProductList-OfferingBody"/>
              <w:jc w:val="center"/>
            </w:pPr>
            <w:r>
              <w:t>&lt; 99,9%</w:t>
            </w:r>
          </w:p>
        </w:tc>
        <w:tc>
          <w:tcPr>
            <w:tcW w:w="5400" w:type="dxa"/>
          </w:tcPr>
          <w:p w14:paraId="5FB7CC40" w14:textId="77777777" w:rsidR="00C86427" w:rsidRPr="00EF7CF9" w:rsidRDefault="00C86427" w:rsidP="00F01ED6">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F01ED6">
            <w:pPr>
              <w:pStyle w:val="ProductList-OfferingBody"/>
              <w:jc w:val="center"/>
            </w:pPr>
            <w:r>
              <w:t>&lt; 99%</w:t>
            </w:r>
          </w:p>
        </w:tc>
        <w:tc>
          <w:tcPr>
            <w:tcW w:w="5400" w:type="dxa"/>
          </w:tcPr>
          <w:p w14:paraId="4C18F2FB" w14:textId="77777777" w:rsidR="00C86427" w:rsidRPr="00EF7CF9" w:rsidRDefault="00C86427" w:rsidP="00F01ED6">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F01ED6">
            <w:pPr>
              <w:pStyle w:val="ProductList-OfferingBody"/>
              <w:jc w:val="center"/>
            </w:pPr>
            <w:r>
              <w:t>&lt; 95%</w:t>
            </w:r>
          </w:p>
        </w:tc>
        <w:tc>
          <w:tcPr>
            <w:tcW w:w="5400" w:type="dxa"/>
          </w:tcPr>
          <w:p w14:paraId="07DE3FF0" w14:textId="77777777" w:rsidR="00C86427" w:rsidRPr="00EF7CF9" w:rsidRDefault="00C86427" w:rsidP="00F01ED6">
            <w:pPr>
              <w:pStyle w:val="ProductList-OfferingBody"/>
              <w:jc w:val="center"/>
            </w:pPr>
            <w:r>
              <w:t>100%</w:t>
            </w:r>
          </w:p>
        </w:tc>
      </w:tr>
    </w:tbl>
    <w:bookmarkStart w:id="97" w:name="_Toc457821524"/>
    <w:p w14:paraId="72A5C61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5819662" w14:textId="017A96D3" w:rsidR="00F601F4" w:rsidRPr="00EF7CF9" w:rsidRDefault="00AF793E" w:rsidP="00F01ED6">
      <w:pPr>
        <w:pStyle w:val="ProductList-Offering2Heading"/>
        <w:outlineLvl w:val="2"/>
      </w:pPr>
      <w:bookmarkStart w:id="98" w:name="_Toc457821525"/>
      <w:bookmarkStart w:id="99" w:name="_Toc526859637"/>
      <w:bookmarkStart w:id="100" w:name="_Toc182409605"/>
      <w:bookmarkEnd w:id="97"/>
      <w:r>
        <w:t>Microsoft Teams – Planos de Chamadas, Telefón</w:t>
      </w:r>
      <w:r w:rsidR="009B10D0">
        <w:t>e</w:t>
      </w:r>
      <w:r>
        <w:t xml:space="preserve"> </w:t>
      </w:r>
      <w:r w:rsidR="009B10D0">
        <w:t xml:space="preserve">do Teams </w:t>
      </w:r>
      <w:r>
        <w:t>e Conferências de Áudio</w:t>
      </w:r>
      <w:bookmarkEnd w:id="98"/>
      <w:bookmarkEnd w:id="99"/>
      <w:bookmarkEnd w:id="100"/>
    </w:p>
    <w:p w14:paraId="4772F010" w14:textId="09B0C5FB" w:rsidR="00F601F4" w:rsidRPr="00EF7CF9" w:rsidRDefault="00F601F4"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Período de Indisponibilidade</w:t>
      </w:r>
      <w:r w:rsidRPr="00473DD3">
        <w:rPr>
          <w:rFonts w:ascii="Calibri" w:eastAsia="Calibri" w:hAnsi="Calibri" w:cs="Times New Roman"/>
          <w:b/>
          <w:color w:val="00188F"/>
          <w:sz w:val="18"/>
        </w:rPr>
        <w:t>:</w:t>
      </w:r>
      <w:r>
        <w:rPr>
          <w:rFonts w:ascii="Calibri" w:eastAsia="Calibri" w:hAnsi="Calibri" w:cs="Times New Roman"/>
          <w:sz w:val="18"/>
          <w:szCs w:val="18"/>
        </w:rPr>
        <w:t xml:space="preserve"> Qualquer período em que os utilizadores finais não conseguem iniciar uma chamada RTPC ou não conseguem aceder por telefone a uma conferência de áudio via RTCP, ou processar chamadas com Filas de Chamadas ou Atendedor Automático.</w:t>
      </w:r>
    </w:p>
    <w:p w14:paraId="7A5ADEFA" w14:textId="4C762566" w:rsidR="000D4219" w:rsidRPr="00C609A8" w:rsidRDefault="00AC48A7" w:rsidP="00F01ED6">
      <w:pPr>
        <w:spacing w:after="0" w:line="240" w:lineRule="auto"/>
        <w:jc w:val="both"/>
        <w:rPr>
          <w:rFonts w:ascii="Calibri" w:eastAsia="Calibri" w:hAnsi="Calibri" w:cs="Times New Roman"/>
          <w:spacing w:val="-3"/>
          <w:sz w:val="18"/>
          <w:szCs w:val="18"/>
        </w:rPr>
      </w:pPr>
      <w:r w:rsidRPr="00C609A8">
        <w:rPr>
          <w:rFonts w:ascii="Calibri" w:eastAsia="Calibri" w:hAnsi="Calibri" w:cs="Times New Roman"/>
          <w:b/>
          <w:color w:val="00188F"/>
          <w:spacing w:val="-3"/>
          <w:sz w:val="18"/>
        </w:rPr>
        <w:t>Percentagem de Período de Disponibilidade</w:t>
      </w:r>
      <w:r w:rsidRPr="00473DD3">
        <w:rPr>
          <w:rFonts w:ascii="Calibri" w:eastAsia="Calibri" w:hAnsi="Calibri" w:cs="Times New Roman"/>
          <w:b/>
          <w:color w:val="00188F"/>
          <w:spacing w:val="-3"/>
          <w:sz w:val="18"/>
        </w:rPr>
        <w:t>:</w:t>
      </w:r>
      <w:r w:rsidRPr="00C609A8">
        <w:rPr>
          <w:rFonts w:ascii="Calibri" w:eastAsia="Calibri" w:hAnsi="Calibri" w:cs="Times New Roman"/>
          <w:color w:val="002060"/>
          <w:spacing w:val="-3"/>
          <w:sz w:val="18"/>
          <w:szCs w:val="18"/>
        </w:rPr>
        <w:t xml:space="preserve"> </w:t>
      </w:r>
      <w:r w:rsidRPr="00C609A8">
        <w:rPr>
          <w:rFonts w:ascii="Calibri" w:eastAsia="Calibri" w:hAnsi="Calibri" w:cs="Times New Roman"/>
          <w:spacing w:val="-3"/>
          <w:sz w:val="18"/>
          <w:szCs w:val="18"/>
        </w:rPr>
        <w:t>A Percentagem de Período de Disponibilidade é calculada com a seguinte fórmula para cada um dos serviços:</w:t>
      </w:r>
    </w:p>
    <w:p w14:paraId="0B291276" w14:textId="77777777" w:rsidR="000D4219" w:rsidRPr="00173870" w:rsidRDefault="000D4219" w:rsidP="00F01ED6">
      <w:pPr>
        <w:spacing w:after="0" w:line="240" w:lineRule="auto"/>
        <w:rPr>
          <w:rFonts w:ascii="Calibri" w:eastAsia="Calibri" w:hAnsi="Calibri" w:cs="Times New Roman"/>
          <w:sz w:val="18"/>
          <w:szCs w:val="18"/>
        </w:rPr>
      </w:pPr>
    </w:p>
    <w:p w14:paraId="41B5F33D" w14:textId="4D730828" w:rsidR="000D4219" w:rsidRPr="00EF7CF9" w:rsidRDefault="00000000" w:rsidP="00F01ED6">
      <w:pPr>
        <w:spacing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1AE1DEBB" w14:textId="5D97402E" w:rsidR="0086376D" w:rsidRPr="0086376D" w:rsidRDefault="00331A48"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662A6062" w14:textId="77777777" w:rsidR="0086376D" w:rsidRPr="00173870" w:rsidRDefault="0086376D" w:rsidP="00F01ED6">
      <w:pPr>
        <w:spacing w:after="0" w:line="240" w:lineRule="auto"/>
        <w:rPr>
          <w:rFonts w:ascii="Calibri" w:eastAsia="Calibri" w:hAnsi="Calibri" w:cs="Times New Roman"/>
          <w:sz w:val="18"/>
          <w:szCs w:val="18"/>
        </w:rPr>
      </w:pPr>
    </w:p>
    <w:p w14:paraId="6C1E23E8" w14:textId="02C06F24" w:rsidR="000D4219" w:rsidRPr="00EF7CF9" w:rsidRDefault="0086376D"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é aplicável às falhas causadas por qualquer falha de software, equipamento ou serviços de terceiros que não sejam controlados pela Microsoft, ou pelo software Microsoft que não esteja a ser executado pela própria Microsoft no âmbito do Serviço.</w:t>
      </w:r>
    </w:p>
    <w:p w14:paraId="5B546C0C" w14:textId="336439D2" w:rsidR="000D4219" w:rsidRPr="00173870" w:rsidRDefault="000D4219" w:rsidP="00F01ED6">
      <w:pPr>
        <w:spacing w:after="0" w:line="240" w:lineRule="auto"/>
        <w:rPr>
          <w:rFonts w:ascii="Calibri" w:eastAsia="Calibri" w:hAnsi="Calibri" w:cs="Times New Roman"/>
          <w:sz w:val="18"/>
          <w:szCs w:val="18"/>
        </w:rPr>
      </w:pPr>
    </w:p>
    <w:p w14:paraId="3C213E15" w14:textId="7E8E7A6A" w:rsidR="00204453" w:rsidRPr="00EF7CF9" w:rsidRDefault="0020445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BE217" w14:textId="77777777" w:rsidR="00204453" w:rsidRPr="00EF7CF9" w:rsidRDefault="00204453" w:rsidP="00F01ED6">
            <w:pPr>
              <w:pStyle w:val="ProductList-OfferingBody"/>
              <w:jc w:val="center"/>
              <w:rPr>
                <w:color w:val="FFFFFF" w:themeColor="background1"/>
              </w:rPr>
            </w:pPr>
            <w:r>
              <w:rPr>
                <w:color w:val="FFFFFF" w:themeColor="background1"/>
              </w:rPr>
              <w:t>Crédito de Serviço</w:t>
            </w:r>
          </w:p>
        </w:tc>
      </w:tr>
      <w:tr w:rsidR="00973E7C" w:rsidRPr="00B44CF9" w14:paraId="29EDBABB" w14:textId="77777777" w:rsidTr="00204453">
        <w:tc>
          <w:tcPr>
            <w:tcW w:w="5400" w:type="dxa"/>
          </w:tcPr>
          <w:p w14:paraId="7B33B0E3" w14:textId="005A1C4B" w:rsidR="00973E7C" w:rsidRDefault="00973E7C" w:rsidP="00973E7C">
            <w:pPr>
              <w:pStyle w:val="ProductList-OfferingBody"/>
              <w:jc w:val="center"/>
            </w:pPr>
            <w:r>
              <w:t>&lt; 99,999%</w:t>
            </w:r>
          </w:p>
        </w:tc>
        <w:tc>
          <w:tcPr>
            <w:tcW w:w="5400" w:type="dxa"/>
          </w:tcPr>
          <w:p w14:paraId="0915F1E6" w14:textId="1BFC2C89" w:rsidR="00973E7C" w:rsidRDefault="00973E7C" w:rsidP="00973E7C">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F01ED6">
            <w:pPr>
              <w:pStyle w:val="ProductList-OfferingBody"/>
              <w:jc w:val="center"/>
            </w:pPr>
            <w:r>
              <w:t>&lt; 99,99%</w:t>
            </w:r>
          </w:p>
        </w:tc>
        <w:tc>
          <w:tcPr>
            <w:tcW w:w="5400" w:type="dxa"/>
          </w:tcPr>
          <w:p w14:paraId="43A9434B" w14:textId="60108545" w:rsidR="0086376D" w:rsidRPr="00EF7CF9" w:rsidRDefault="00A866B3" w:rsidP="00F01ED6">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F01ED6">
            <w:pPr>
              <w:pStyle w:val="ProductList-OfferingBody"/>
              <w:jc w:val="center"/>
            </w:pPr>
            <w:r>
              <w:t>&lt; 99,9%</w:t>
            </w:r>
          </w:p>
        </w:tc>
        <w:tc>
          <w:tcPr>
            <w:tcW w:w="5400" w:type="dxa"/>
          </w:tcPr>
          <w:p w14:paraId="1F728475" w14:textId="77777777" w:rsidR="00204453" w:rsidRPr="00EF7CF9" w:rsidRDefault="00204453" w:rsidP="00F01ED6">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F01ED6">
            <w:pPr>
              <w:pStyle w:val="ProductList-OfferingBody"/>
              <w:jc w:val="center"/>
            </w:pPr>
            <w:r>
              <w:t>&lt; 99%</w:t>
            </w:r>
          </w:p>
        </w:tc>
        <w:tc>
          <w:tcPr>
            <w:tcW w:w="5400" w:type="dxa"/>
          </w:tcPr>
          <w:p w14:paraId="29580C8D" w14:textId="77777777" w:rsidR="00204453" w:rsidRPr="00EF7CF9" w:rsidRDefault="00204453" w:rsidP="00F01ED6">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F01ED6">
            <w:pPr>
              <w:pStyle w:val="ProductList-OfferingBody"/>
              <w:jc w:val="center"/>
            </w:pPr>
            <w:r>
              <w:t>&lt; 95%</w:t>
            </w:r>
          </w:p>
        </w:tc>
        <w:tc>
          <w:tcPr>
            <w:tcW w:w="5400" w:type="dxa"/>
          </w:tcPr>
          <w:p w14:paraId="62EAA25A" w14:textId="77777777" w:rsidR="00204453" w:rsidRPr="00EF7CF9" w:rsidRDefault="00204453" w:rsidP="00F01ED6">
            <w:pPr>
              <w:pStyle w:val="ProductList-OfferingBody"/>
              <w:jc w:val="center"/>
            </w:pPr>
            <w:r>
              <w:t>100%</w:t>
            </w:r>
          </w:p>
        </w:tc>
      </w:tr>
    </w:tbl>
    <w:bookmarkStart w:id="101" w:name="_Toc457821526"/>
    <w:p w14:paraId="2BF7D54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EE9CF4D" w14:textId="3AC11209" w:rsidR="00E25E0F" w:rsidRPr="00EF7CF9" w:rsidRDefault="00AF793E" w:rsidP="00F01ED6">
      <w:pPr>
        <w:pStyle w:val="ProductList-Offering2Heading"/>
        <w:outlineLvl w:val="2"/>
      </w:pPr>
      <w:bookmarkStart w:id="102" w:name="_Toc182409606"/>
      <w:r>
        <w:t>Microsoft Teams – Qualidade da Voz</w:t>
      </w:r>
      <w:bookmarkEnd w:id="101"/>
      <w:bookmarkEnd w:id="102"/>
    </w:p>
    <w:p w14:paraId="37E23CD8" w14:textId="77777777" w:rsidR="001D70B9" w:rsidRPr="00EF7CF9" w:rsidRDefault="001D70B9" w:rsidP="00F01ED6">
      <w:pPr>
        <w:pStyle w:val="ProductList-Body"/>
      </w:pPr>
      <w:r>
        <w:t>O presente SLA aplica-se a qualquer chamada elegível efetuada por qualquer utilizador do serviço de voz no âmbito da subscrição (com permissão para fazer qualquer tipo de chamada VOIP ou RTPC).</w:t>
      </w:r>
    </w:p>
    <w:p w14:paraId="5AC299E2" w14:textId="4B9CEFBE" w:rsidR="00E25E0F" w:rsidRPr="00EF7CF9" w:rsidRDefault="00E25E0F" w:rsidP="00F01ED6">
      <w:pPr>
        <w:pStyle w:val="ProductList-Body"/>
      </w:pPr>
      <w:r>
        <w:rPr>
          <w:b/>
          <w:color w:val="00188F"/>
        </w:rPr>
        <w:t>Definições Adicionais</w:t>
      </w:r>
      <w:r w:rsidRPr="00473DD3">
        <w:rPr>
          <w:b/>
          <w:color w:val="00188F"/>
        </w:rPr>
        <w:t>:</w:t>
      </w:r>
    </w:p>
    <w:p w14:paraId="769655EE" w14:textId="766FB4D8" w:rsidR="00E25E0F" w:rsidRPr="00EF7CF9" w:rsidRDefault="00380305" w:rsidP="00F01ED6">
      <w:pPr>
        <w:pStyle w:val="ProductList-Body"/>
      </w:pPr>
      <w:r>
        <w:t>“</w:t>
      </w:r>
      <w:r w:rsidR="00EF7CF9">
        <w:rPr>
          <w:b/>
          <w:color w:val="00188F"/>
        </w:rPr>
        <w:t>Chamada Elegível</w:t>
      </w:r>
      <w:r>
        <w:t>”</w:t>
      </w:r>
      <w:r w:rsidR="00EF7CF9">
        <w:t xml:space="preserve"> é uma chamada feita pelo Microsoft Teams (no âmbito de uma subscrição) que satisfaz ambas as seguintes condições: </w:t>
      </w:r>
    </w:p>
    <w:p w14:paraId="006B7BB5" w14:textId="75ED5DB2" w:rsidR="00E25E0F" w:rsidRPr="00EF7CF9" w:rsidRDefault="00E25E0F" w:rsidP="00F01ED6">
      <w:pPr>
        <w:pStyle w:val="ProductList-Body"/>
        <w:numPr>
          <w:ilvl w:val="0"/>
          <w:numId w:val="14"/>
        </w:numPr>
      </w:pPr>
      <w:r>
        <w:t>A chamada foi feita a partir de telefones Fixos IP com Certificação do Microsoft Teams numa Ethernet com fios</w:t>
      </w:r>
    </w:p>
    <w:p w14:paraId="36758620" w14:textId="77777777" w:rsidR="00E25E0F" w:rsidRPr="00EF7CF9" w:rsidRDefault="00E25E0F" w:rsidP="00F01ED6">
      <w:pPr>
        <w:pStyle w:val="ProductList-Body"/>
        <w:numPr>
          <w:ilvl w:val="0"/>
          <w:numId w:val="14"/>
        </w:numPr>
      </w:pPr>
      <w:r>
        <w:t xml:space="preserve">Os problemas de Perda de Pacotes, Instabilidade e Latência na chamada deveram-se às redes geridas pela Microsoft. </w:t>
      </w:r>
    </w:p>
    <w:p w14:paraId="55A75C61" w14:textId="024E67C0" w:rsidR="00E25E0F" w:rsidRPr="00EF7CF9" w:rsidRDefault="00380305" w:rsidP="00F01ED6">
      <w:pPr>
        <w:pStyle w:val="ProductList-Body"/>
      </w:pPr>
      <w:r>
        <w:t>“</w:t>
      </w:r>
      <w:r w:rsidR="00EF7CF9">
        <w:rPr>
          <w:b/>
          <w:color w:val="00188F"/>
        </w:rPr>
        <w:t>Total de Chamadas</w:t>
      </w:r>
      <w:r>
        <w:t>”</w:t>
      </w:r>
      <w:r w:rsidR="00EF7CF9">
        <w:t xml:space="preserve"> é o número total de Chamadas Elegíveis</w:t>
      </w:r>
    </w:p>
    <w:p w14:paraId="108FE9FB" w14:textId="51CFDE9E" w:rsidR="00E25E0F" w:rsidRPr="00EF7CF9" w:rsidRDefault="00380305" w:rsidP="00F01ED6">
      <w:pPr>
        <w:pStyle w:val="ProductList-Body"/>
      </w:pPr>
      <w:r>
        <w:t>“</w:t>
      </w:r>
      <w:r w:rsidR="00EF7CF9">
        <w:rPr>
          <w:b/>
          <w:color w:val="00188F"/>
        </w:rPr>
        <w:t>Chamadas de Má Qualidade</w:t>
      </w:r>
      <w:r>
        <w:t>”</w:t>
      </w:r>
      <w:r w:rsidR="00EF7CF9">
        <w:t xml:space="preserve"> é o número total de Chamadas Elegíveis classificadas como más com base em vários fatores que poderão afetar a</w:t>
      </w:r>
      <w:r w:rsidR="00AB0F2A">
        <w:t> </w:t>
      </w:r>
      <w:r w:rsidR="00EF7CF9">
        <w:t>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do</w:t>
      </w:r>
      <w:r w:rsidR="00AB0F2A">
        <w:t> </w:t>
      </w:r>
      <w:r w:rsidR="00EF7CF9">
        <w:t>Skype para Empresas e do Microsoft Teams, bem como na evolução dos Dispositivos, dos Algoritmos e nas classificações dos utilizadores finais.</w:t>
      </w:r>
    </w:p>
    <w:p w14:paraId="0B4A6654" w14:textId="695DAAB0" w:rsidR="00E25E0F" w:rsidRPr="00EF7CF9" w:rsidRDefault="00E25E0F"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473DD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utilizando a seguinte fórmula:</w:t>
      </w:r>
    </w:p>
    <w:p w14:paraId="40445FC9" w14:textId="77777777" w:rsidR="00E25E0F" w:rsidRPr="00173870" w:rsidRDefault="00E25E0F" w:rsidP="00F01ED6">
      <w:pPr>
        <w:spacing w:after="0" w:line="240" w:lineRule="auto"/>
        <w:rPr>
          <w:rFonts w:ascii="Calibri" w:eastAsia="Calibri" w:hAnsi="Calibri" w:cs="Times New Roman"/>
          <w:sz w:val="18"/>
          <w:szCs w:val="18"/>
        </w:rPr>
      </w:pPr>
    </w:p>
    <w:p w14:paraId="1A1B6F7F" w14:textId="01A1792A" w:rsidR="00E25E0F" w:rsidRPr="00EF7CF9" w:rsidRDefault="00000000" w:rsidP="00F01ED6">
      <w:pPr>
        <w:spacing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Chamadas - Chamadas de Má Qualidade</m:t>
              </m:r>
            </m:num>
            <m:den>
              <m:r>
                <m:rPr>
                  <m:nor/>
                </m:rPr>
                <w:rPr>
                  <w:rFonts w:ascii="Cambria Math" w:eastAsia="Calibri" w:hAnsi="Cambria Math" w:cs="Calibri"/>
                  <w:i/>
                  <w:iCs/>
                  <w:sz w:val="18"/>
                  <w:szCs w:val="18"/>
                </w:rPr>
                <m:t>Total de Chamadas</m:t>
              </m:r>
            </m:den>
          </m:f>
          <m:r>
            <w:rPr>
              <w:rFonts w:ascii="Cambria Math" w:eastAsia="Calibri" w:hAnsi="Cambria Math" w:cs="Calibri"/>
              <w:sz w:val="18"/>
              <w:szCs w:val="18"/>
            </w:rPr>
            <m:t xml:space="preserve"> x 100</m:t>
          </m:r>
        </m:oMath>
      </m:oMathPara>
    </w:p>
    <w:p w14:paraId="29912DEF" w14:textId="77777777" w:rsidR="00E25E0F" w:rsidRPr="00EF7CF9" w:rsidRDefault="00E25E0F" w:rsidP="00885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885CFE">
            <w:pPr>
              <w:pStyle w:val="ProductList-OfferingBody"/>
              <w:keepNext/>
              <w:keepLines/>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885CFE">
            <w:pPr>
              <w:pStyle w:val="ProductList-OfferingBody"/>
              <w:keepNext/>
              <w:keepLines/>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885CFE">
            <w:pPr>
              <w:pStyle w:val="ProductList-OfferingBody"/>
              <w:keepNext/>
              <w:keepLines/>
              <w:jc w:val="center"/>
            </w:pPr>
            <w:r>
              <w:t>&lt; 99,9%</w:t>
            </w:r>
          </w:p>
        </w:tc>
        <w:tc>
          <w:tcPr>
            <w:tcW w:w="5400" w:type="dxa"/>
          </w:tcPr>
          <w:p w14:paraId="6211073E" w14:textId="77777777" w:rsidR="00E25E0F" w:rsidRPr="00EF7CF9" w:rsidRDefault="00E25E0F" w:rsidP="00885CFE">
            <w:pPr>
              <w:pStyle w:val="ProductList-OfferingBody"/>
              <w:keepNext/>
              <w:keepLines/>
              <w:jc w:val="center"/>
            </w:pPr>
            <w:r>
              <w:t>25%</w:t>
            </w:r>
          </w:p>
        </w:tc>
      </w:tr>
      <w:tr w:rsidR="00E25E0F" w:rsidRPr="00B44CF9" w14:paraId="33028E0F" w14:textId="77777777" w:rsidTr="005326DD">
        <w:tc>
          <w:tcPr>
            <w:tcW w:w="5400" w:type="dxa"/>
          </w:tcPr>
          <w:p w14:paraId="09712D25" w14:textId="77777777" w:rsidR="00E25E0F" w:rsidRPr="00EF7CF9" w:rsidRDefault="00E25E0F" w:rsidP="00885CFE">
            <w:pPr>
              <w:pStyle w:val="ProductList-OfferingBody"/>
              <w:keepNext/>
              <w:keepLines/>
              <w:jc w:val="center"/>
            </w:pPr>
            <w:r>
              <w:t>&lt; 99%</w:t>
            </w:r>
          </w:p>
        </w:tc>
        <w:tc>
          <w:tcPr>
            <w:tcW w:w="5400" w:type="dxa"/>
          </w:tcPr>
          <w:p w14:paraId="55DDA4A7" w14:textId="77777777" w:rsidR="00E25E0F" w:rsidRPr="00EF7CF9" w:rsidRDefault="00E25E0F" w:rsidP="00885CFE">
            <w:pPr>
              <w:pStyle w:val="ProductList-OfferingBody"/>
              <w:keepNext/>
              <w:keepLines/>
              <w:jc w:val="center"/>
            </w:pPr>
            <w:r>
              <w:t>50%</w:t>
            </w:r>
          </w:p>
        </w:tc>
      </w:tr>
      <w:tr w:rsidR="00E25E0F" w:rsidRPr="00B44CF9" w14:paraId="440BE748" w14:textId="77777777" w:rsidTr="005326DD">
        <w:tc>
          <w:tcPr>
            <w:tcW w:w="5400" w:type="dxa"/>
          </w:tcPr>
          <w:p w14:paraId="0410A4CD" w14:textId="77777777" w:rsidR="00E25E0F" w:rsidRPr="00EF7CF9" w:rsidRDefault="00E25E0F" w:rsidP="00F01ED6">
            <w:pPr>
              <w:pStyle w:val="ProductList-OfferingBody"/>
              <w:jc w:val="center"/>
            </w:pPr>
            <w:r>
              <w:t>&lt; 95%</w:t>
            </w:r>
          </w:p>
        </w:tc>
        <w:tc>
          <w:tcPr>
            <w:tcW w:w="5400" w:type="dxa"/>
          </w:tcPr>
          <w:p w14:paraId="0D8F0DAA" w14:textId="77777777" w:rsidR="00E25E0F" w:rsidRPr="00EF7CF9" w:rsidRDefault="00E25E0F" w:rsidP="00F01ED6">
            <w:pPr>
              <w:pStyle w:val="ProductList-OfferingBody"/>
              <w:keepNext/>
              <w:jc w:val="center"/>
            </w:pPr>
            <w:r>
              <w:t>100%</w:t>
            </w:r>
          </w:p>
        </w:tc>
      </w:tr>
    </w:tbl>
    <w:bookmarkStart w:id="103" w:name="_Toc457821527"/>
    <w:p w14:paraId="2073F63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B8073DE" w14:textId="48F94266" w:rsidR="00006365" w:rsidRPr="00EF7CF9" w:rsidRDefault="00006365" w:rsidP="00F01ED6">
      <w:pPr>
        <w:pStyle w:val="ProductList-Offering2Heading"/>
        <w:outlineLvl w:val="2"/>
      </w:pPr>
      <w:bookmarkStart w:id="104" w:name="_Toc182409607"/>
      <w:r>
        <w:t>Informações sobre Tendências Empresariais</w:t>
      </w:r>
      <w:bookmarkEnd w:id="104"/>
    </w:p>
    <w:p w14:paraId="39EA0E40" w14:textId="26873E2C" w:rsidR="00006365" w:rsidRPr="00EF7CF9" w:rsidRDefault="00006365" w:rsidP="00F01ED6">
      <w:pPr>
        <w:pStyle w:val="ProductList-Body"/>
      </w:pPr>
      <w:r>
        <w:rPr>
          <w:b/>
          <w:color w:val="00188F"/>
        </w:rPr>
        <w:t>Período de Indisponibilidade</w:t>
      </w:r>
      <w:r w:rsidRPr="00473DD3">
        <w:rPr>
          <w:b/>
          <w:color w:val="00188F"/>
        </w:rPr>
        <w:t>:</w:t>
      </w:r>
      <w:r>
        <w:t xml:space="preserve"> Qualquer período de tempo em que os utilizadores não conseguem aceder ao Web site Informações sobre Tendências Empresariais.</w:t>
      </w:r>
    </w:p>
    <w:p w14:paraId="7BCDE968" w14:textId="78D697ED" w:rsidR="00006365"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580373D" w14:textId="77777777" w:rsidR="00006365" w:rsidRPr="00EF7CF9" w:rsidRDefault="00006365" w:rsidP="00F01ED6">
      <w:pPr>
        <w:pStyle w:val="ProductList-Body"/>
      </w:pPr>
    </w:p>
    <w:p w14:paraId="42D3EDC3" w14:textId="4E6898BA" w:rsidR="00006365"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6D60245" w14:textId="22488CC3" w:rsidR="00006365"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8A52B5D" w14:textId="77777777" w:rsidR="00CF3581" w:rsidRPr="00EF7CF9" w:rsidRDefault="00CF3581" w:rsidP="00F01ED6">
      <w:pPr>
        <w:pStyle w:val="ProductList-Body"/>
      </w:pPr>
    </w:p>
    <w:p w14:paraId="0B221A30" w14:textId="77777777" w:rsidR="00006365" w:rsidRPr="00EF7CF9" w:rsidRDefault="0000636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89005C8" w14:textId="64D79297" w:rsidR="00006365" w:rsidRPr="00EF7CF9" w:rsidRDefault="00CF3581" w:rsidP="00F01ED6">
            <w:pPr>
              <w:pStyle w:val="ProductList-OfferingBody"/>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F01ED6">
            <w:pPr>
              <w:pStyle w:val="ProductList-OfferingBody"/>
              <w:jc w:val="center"/>
            </w:pPr>
            <w:r>
              <w:t>&lt; 99,9%</w:t>
            </w:r>
          </w:p>
        </w:tc>
        <w:tc>
          <w:tcPr>
            <w:tcW w:w="5400" w:type="dxa"/>
          </w:tcPr>
          <w:p w14:paraId="2745667D" w14:textId="58CFB147" w:rsidR="00CF3581" w:rsidRPr="00EF7CF9" w:rsidRDefault="00CF3581" w:rsidP="00F01ED6">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F01ED6">
            <w:pPr>
              <w:pStyle w:val="ProductList-OfferingBody"/>
              <w:jc w:val="center"/>
            </w:pPr>
            <w:r>
              <w:t>&lt; 99%</w:t>
            </w:r>
          </w:p>
        </w:tc>
        <w:tc>
          <w:tcPr>
            <w:tcW w:w="5400" w:type="dxa"/>
          </w:tcPr>
          <w:p w14:paraId="7255049B" w14:textId="0E8A5F92" w:rsidR="00CF3581" w:rsidRPr="00EF7CF9" w:rsidRDefault="00CF3581" w:rsidP="00F01ED6">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F01ED6">
            <w:pPr>
              <w:pStyle w:val="ProductList-OfferingBody"/>
              <w:jc w:val="center"/>
            </w:pPr>
            <w:r>
              <w:t>&lt; 95%</w:t>
            </w:r>
          </w:p>
        </w:tc>
        <w:tc>
          <w:tcPr>
            <w:tcW w:w="5400" w:type="dxa"/>
          </w:tcPr>
          <w:p w14:paraId="7AFD3FF5" w14:textId="0D7588DC" w:rsidR="00CF3581" w:rsidRPr="00EF7CF9" w:rsidRDefault="00CF3581" w:rsidP="00F01ED6">
            <w:pPr>
              <w:pStyle w:val="ProductList-OfferingBody"/>
              <w:jc w:val="center"/>
            </w:pPr>
            <w:r>
              <w:t>100%</w:t>
            </w:r>
          </w:p>
        </w:tc>
      </w:tr>
    </w:tbl>
    <w:p w14:paraId="16FEC0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6C3629" w14:textId="5B566C3E" w:rsidR="00C86427" w:rsidRPr="00EF7CF9" w:rsidRDefault="00C86427" w:rsidP="00F01ED6">
      <w:pPr>
        <w:pStyle w:val="ProductList-Offering2Heading"/>
        <w:outlineLvl w:val="2"/>
      </w:pPr>
      <w:bookmarkStart w:id="105" w:name="_Toc182409608"/>
      <w:r>
        <w:t>Yammer Enterprise</w:t>
      </w:r>
      <w:bookmarkEnd w:id="103"/>
      <w:bookmarkEnd w:id="105"/>
    </w:p>
    <w:p w14:paraId="2A669564" w14:textId="3A9E370A"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superior a dez minutos quando mais de cinco por cento dos utilizadores finais não conseguem publicar ou ler mensagens em qualquer parte da rede Yammer para a qual têm as permissões adequadas.</w:t>
      </w:r>
    </w:p>
    <w:p w14:paraId="476BDF33" w14:textId="5A43C8B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5E7767" w14:textId="77777777" w:rsidR="00C86427" w:rsidRPr="00EF7CF9" w:rsidRDefault="00C86427" w:rsidP="00F01ED6">
      <w:pPr>
        <w:pStyle w:val="ProductList-Body"/>
      </w:pPr>
    </w:p>
    <w:p w14:paraId="13177606" w14:textId="7F1555DC" w:rsidR="00C86427"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6178239" w14:textId="43137EB5" w:rsidR="00C86427"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EB8778" w14:textId="77777777" w:rsidR="00C86427" w:rsidRPr="00EF7CF9" w:rsidRDefault="00C86427" w:rsidP="00F01ED6">
      <w:pPr>
        <w:pStyle w:val="ProductList-Body"/>
      </w:pPr>
    </w:p>
    <w:p w14:paraId="3CB8DA5D" w14:textId="10D482CB"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3835E2"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F01ED6">
            <w:pPr>
              <w:pStyle w:val="ProductList-OfferingBody"/>
              <w:jc w:val="center"/>
            </w:pPr>
            <w:r>
              <w:t>&lt; 99,9%</w:t>
            </w:r>
          </w:p>
        </w:tc>
        <w:tc>
          <w:tcPr>
            <w:tcW w:w="5400" w:type="dxa"/>
          </w:tcPr>
          <w:p w14:paraId="2B6C1459" w14:textId="77777777" w:rsidR="00C86427" w:rsidRPr="00EF7CF9" w:rsidRDefault="00C86427" w:rsidP="00F01ED6">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F01ED6">
            <w:pPr>
              <w:pStyle w:val="ProductList-OfferingBody"/>
              <w:jc w:val="center"/>
            </w:pPr>
            <w:r>
              <w:t>&lt; 99%</w:t>
            </w:r>
          </w:p>
        </w:tc>
        <w:tc>
          <w:tcPr>
            <w:tcW w:w="5400" w:type="dxa"/>
          </w:tcPr>
          <w:p w14:paraId="5DDFDCAF" w14:textId="77777777" w:rsidR="00C86427" w:rsidRPr="00EF7CF9" w:rsidRDefault="00C86427" w:rsidP="00F01ED6">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F01ED6">
            <w:pPr>
              <w:pStyle w:val="ProductList-OfferingBody"/>
              <w:jc w:val="center"/>
            </w:pPr>
            <w:r>
              <w:t>&lt; 95%</w:t>
            </w:r>
          </w:p>
        </w:tc>
        <w:tc>
          <w:tcPr>
            <w:tcW w:w="5400" w:type="dxa"/>
          </w:tcPr>
          <w:p w14:paraId="5933E5F9" w14:textId="77777777" w:rsidR="00C86427" w:rsidRPr="00EF7CF9" w:rsidRDefault="00C86427" w:rsidP="00F01ED6">
            <w:pPr>
              <w:pStyle w:val="ProductList-OfferingBody"/>
              <w:jc w:val="center"/>
            </w:pPr>
            <w:r>
              <w:t>100%</w:t>
            </w:r>
          </w:p>
        </w:tc>
      </w:tr>
    </w:tbl>
    <w:bookmarkStart w:id="106" w:name="_Toc53474718"/>
    <w:bookmarkStart w:id="107" w:name="MicrosoftAzureServices"/>
    <w:p w14:paraId="2DDA096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5F8587" w14:textId="191D8225" w:rsidR="00DC0631" w:rsidRPr="00EF7CF9" w:rsidRDefault="00DC0631" w:rsidP="00F01ED6">
      <w:pPr>
        <w:pStyle w:val="ProductList-OfferingGroupHeading"/>
        <w:tabs>
          <w:tab w:val="clear" w:pos="360"/>
          <w:tab w:val="clear" w:pos="720"/>
          <w:tab w:val="clear" w:pos="1080"/>
        </w:tabs>
        <w:outlineLvl w:val="1"/>
      </w:pPr>
      <w:bookmarkStart w:id="108" w:name="_Toc182409609"/>
      <w:r>
        <w:t>Serviços e Planos do</w:t>
      </w:r>
      <w:bookmarkEnd w:id="106"/>
      <w:r>
        <w:t xml:space="preserve"> Microsoft Azure</w:t>
      </w:r>
      <w:bookmarkEnd w:id="108"/>
    </w:p>
    <w:p w14:paraId="0FE870F8" w14:textId="271718BC" w:rsidR="00755B76" w:rsidRPr="006F3CBD" w:rsidRDefault="003B1144" w:rsidP="00F01ED6">
      <w:pPr>
        <w:pStyle w:val="ProductList-Offering2Heading"/>
        <w:tabs>
          <w:tab w:val="clear" w:pos="360"/>
          <w:tab w:val="clear" w:pos="720"/>
          <w:tab w:val="clear" w:pos="1080"/>
        </w:tabs>
        <w:outlineLvl w:val="2"/>
        <w:rPr>
          <w:lang w:val="en-IN"/>
        </w:rPr>
      </w:pPr>
      <w:bookmarkStart w:id="109" w:name="_Toc182409610"/>
      <w:bookmarkStart w:id="110" w:name="_Toc52348916"/>
      <w:bookmarkStart w:id="111" w:name="_Toc457821535"/>
      <w:bookmarkStart w:id="112" w:name="_Toc457821591"/>
      <w:bookmarkEnd w:id="107"/>
      <w:r>
        <w:rPr>
          <w:lang w:val="en-IN"/>
        </w:rPr>
        <w:t>Microsoft Entra ID</w:t>
      </w:r>
      <w:bookmarkEnd w:id="109"/>
    </w:p>
    <w:p w14:paraId="76FEADA4" w14:textId="77777777" w:rsidR="004A17FE" w:rsidRPr="00523950" w:rsidRDefault="004A17FE" w:rsidP="004A17FE">
      <w:pPr>
        <w:pStyle w:val="ProductList-Body"/>
        <w:rPr>
          <w:rFonts w:ascii="Calibri" w:hAnsi="Calibri" w:cs="Calibri"/>
          <w:b/>
          <w:color w:val="00188F"/>
        </w:rPr>
      </w:pPr>
      <w:r>
        <w:rPr>
          <w:rFonts w:ascii="Calibri" w:hAnsi="Calibri" w:cs="Calibri"/>
          <w:b/>
          <w:color w:val="00188F"/>
        </w:rPr>
        <w:t>Microsoft Entra ID Basic e Microsoft Entra ID Premium</w:t>
      </w:r>
    </w:p>
    <w:p w14:paraId="0F7DA6FF" w14:textId="77777777" w:rsidR="004A17FE" w:rsidRPr="00523950" w:rsidRDefault="004A17FE" w:rsidP="004A17FE">
      <w:pPr>
        <w:pStyle w:val="ProductList-Body"/>
        <w:rPr>
          <w:rFonts w:ascii="Calibri" w:hAnsi="Calibri" w:cs="Calibri"/>
        </w:rPr>
      </w:pPr>
      <w:r>
        <w:rPr>
          <w:rFonts w:ascii="Calibri" w:hAnsi="Calibri" w:cs="Calibri"/>
          <w:b/>
          <w:color w:val="00188F"/>
        </w:rPr>
        <w:t>Definições Adicionais</w:t>
      </w:r>
      <w:r w:rsidRPr="00D9200D">
        <w:rPr>
          <w:rFonts w:ascii="Calibri" w:hAnsi="Calibri" w:cs="Calibri"/>
          <w:b/>
          <w:bCs/>
        </w:rPr>
        <w:t>:</w:t>
      </w:r>
    </w:p>
    <w:p w14:paraId="627C4154" w14:textId="77777777" w:rsidR="004A17FE" w:rsidRPr="00523950" w:rsidRDefault="004A17FE" w:rsidP="004A17FE">
      <w:pPr>
        <w:pStyle w:val="ProductList-Body"/>
        <w:rPr>
          <w:rFonts w:ascii="Calibri" w:hAnsi="Calibri" w:cs="Calibri"/>
        </w:rPr>
      </w:pPr>
      <w:r>
        <w:rPr>
          <w:rFonts w:ascii="Calibri" w:hAnsi="Calibri" w:cs="Calibri"/>
          <w:b/>
          <w:color w:val="00188F"/>
        </w:rPr>
        <w:t>Período de Indisponibilidade</w:t>
      </w:r>
      <w:r w:rsidRPr="00D9200D">
        <w:rPr>
          <w:rFonts w:ascii="Calibri" w:hAnsi="Calibri" w:cs="Calibri"/>
          <w:b/>
          <w:bCs/>
        </w:rPr>
        <w:t>:</w:t>
      </w:r>
      <w:r>
        <w:rPr>
          <w:rFonts w:ascii="Calibri" w:hAnsi="Calibri" w:cs="Calibri"/>
        </w:rPr>
        <w:t xml:space="preserve"> </w:t>
      </w:r>
      <w:r>
        <w:rPr>
          <w:rFonts w:ascii="Calibri" w:hAnsi="Calibri" w:cs="Calibri"/>
          <w:szCs w:val="18"/>
        </w:rPr>
        <w:t>Qualquer período durante o qual os utilizadores não conseguem iniciar sessão no serviço Microsoft Entra ID ou o Microsoft Entra ID falha ao tentar emitir os tokens de autenticação e autorização para os utilizadores iniciarem sessão em aplicações ligadas ao serviço.</w:t>
      </w:r>
    </w:p>
    <w:p w14:paraId="06A45494" w14:textId="0A6A53C9"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94D70B4" w14:textId="77777777" w:rsidR="00755B76" w:rsidRPr="00EF7CF9" w:rsidRDefault="00755B76" w:rsidP="00F01ED6">
      <w:pPr>
        <w:pStyle w:val="ProductList-Body"/>
      </w:pPr>
    </w:p>
    <w:p w14:paraId="5AE99968" w14:textId="3D8F1A8A" w:rsidR="00755B76"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AF19D3" w14:textId="70B2F6C0" w:rsidR="00755B7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E7E94D6" w14:textId="77777777" w:rsidR="00755B76" w:rsidRPr="00EF7CF9" w:rsidRDefault="00755B76" w:rsidP="00F01ED6">
      <w:pPr>
        <w:pStyle w:val="ProductList-Body"/>
      </w:pPr>
    </w:p>
    <w:p w14:paraId="49209FC5" w14:textId="77777777"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4122EE"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F01ED6">
            <w:pPr>
              <w:pStyle w:val="ProductList-OfferingBody"/>
              <w:jc w:val="center"/>
            </w:pPr>
            <w:r>
              <w:t>&lt; 99,99%</w:t>
            </w:r>
          </w:p>
        </w:tc>
        <w:tc>
          <w:tcPr>
            <w:tcW w:w="5400" w:type="dxa"/>
          </w:tcPr>
          <w:p w14:paraId="118CC8B1" w14:textId="77777777" w:rsidR="00755B76" w:rsidRPr="00EF7CF9" w:rsidRDefault="00755B76" w:rsidP="00F01ED6">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F01ED6">
            <w:pPr>
              <w:pStyle w:val="ProductList-OfferingBody"/>
              <w:jc w:val="center"/>
            </w:pPr>
            <w:r>
              <w:t>&lt; 99,9%</w:t>
            </w:r>
          </w:p>
        </w:tc>
        <w:tc>
          <w:tcPr>
            <w:tcW w:w="5400" w:type="dxa"/>
          </w:tcPr>
          <w:p w14:paraId="00FA81CB" w14:textId="77777777" w:rsidR="00755B76" w:rsidRPr="00EF7CF9" w:rsidRDefault="00755B76" w:rsidP="00F01ED6">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F01ED6">
            <w:pPr>
              <w:pStyle w:val="ProductList-OfferingBody"/>
              <w:jc w:val="center"/>
            </w:pPr>
            <w:r>
              <w:t>&lt; 99%</w:t>
            </w:r>
          </w:p>
        </w:tc>
        <w:tc>
          <w:tcPr>
            <w:tcW w:w="5400" w:type="dxa"/>
          </w:tcPr>
          <w:p w14:paraId="5C3E3871" w14:textId="77777777" w:rsidR="00755B76" w:rsidRPr="00EF7CF9" w:rsidRDefault="00755B76" w:rsidP="00F01ED6">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F01ED6">
            <w:pPr>
              <w:pStyle w:val="ProductList-OfferingBody"/>
              <w:jc w:val="center"/>
            </w:pPr>
            <w:r>
              <w:t>&lt; 95%</w:t>
            </w:r>
          </w:p>
        </w:tc>
        <w:tc>
          <w:tcPr>
            <w:tcW w:w="5400" w:type="dxa"/>
          </w:tcPr>
          <w:p w14:paraId="2D6534FB" w14:textId="77777777" w:rsidR="00755B76" w:rsidRPr="00EF7CF9" w:rsidRDefault="00755B76" w:rsidP="00F01ED6">
            <w:pPr>
              <w:pStyle w:val="ProductList-OfferingBody"/>
              <w:jc w:val="center"/>
            </w:pPr>
            <w:r>
              <w:t>100%</w:t>
            </w:r>
          </w:p>
        </w:tc>
      </w:tr>
    </w:tbl>
    <w:bookmarkStart w:id="113" w:name="_Toc457821530"/>
    <w:bookmarkStart w:id="114" w:name="_Toc52349004"/>
    <w:p w14:paraId="398D2B58"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E0B282" w14:textId="77777777" w:rsidR="00755B76" w:rsidRPr="00EF7CF9" w:rsidRDefault="00755B76" w:rsidP="00F01ED6">
      <w:pPr>
        <w:pStyle w:val="ProductList-Offering2Heading"/>
        <w:tabs>
          <w:tab w:val="clear" w:pos="360"/>
          <w:tab w:val="clear" w:pos="720"/>
          <w:tab w:val="clear" w:pos="1080"/>
        </w:tabs>
        <w:outlineLvl w:val="2"/>
      </w:pPr>
      <w:bookmarkStart w:id="115" w:name="_Toc182409611"/>
      <w:r>
        <w:t>Azure Active Directory B2C</w:t>
      </w:r>
      <w:bookmarkEnd w:id="113"/>
      <w:bookmarkEnd w:id="114"/>
      <w:bookmarkEnd w:id="115"/>
    </w:p>
    <w:p w14:paraId="322D15EB" w14:textId="77777777" w:rsidR="00755B76" w:rsidRPr="00EF7CF9" w:rsidRDefault="00755B76" w:rsidP="00F01ED6">
      <w:pPr>
        <w:pStyle w:val="ProductList-Body"/>
      </w:pPr>
      <w:r>
        <w:rPr>
          <w:b/>
          <w:color w:val="00188F"/>
        </w:rPr>
        <w:t>Definições Adicionais</w:t>
      </w:r>
      <w:r w:rsidRPr="00473DD3">
        <w:rPr>
          <w:b/>
          <w:color w:val="00188F"/>
        </w:rPr>
        <w:t>:</w:t>
      </w:r>
    </w:p>
    <w:p w14:paraId="06AEB968" w14:textId="4E9422E8" w:rsidR="00755B76" w:rsidRPr="00EF7CF9" w:rsidRDefault="00380305" w:rsidP="00F01ED6">
      <w:pPr>
        <w:pStyle w:val="ProductList-Body"/>
      </w:pPr>
      <w:r>
        <w:t>“</w:t>
      </w:r>
      <w:r w:rsidR="00755B76">
        <w:rPr>
          <w:b/>
          <w:color w:val="00188F"/>
        </w:rPr>
        <w:t>Minutos de Implementação</w:t>
      </w:r>
      <w:r>
        <w:t>”</w:t>
      </w:r>
      <w:r w:rsidR="00755B76">
        <w:t xml:space="preserve"> designa o número total de minutos para os quais um diretório do Azure AD B2C foi implementado durante um Período Aplicável.</w:t>
      </w:r>
    </w:p>
    <w:p w14:paraId="780B86DF" w14:textId="4744DAE1" w:rsidR="00755B76" w:rsidRPr="00EF7CF9" w:rsidRDefault="00380305" w:rsidP="00F01ED6">
      <w:pPr>
        <w:pStyle w:val="ProductList-Body"/>
      </w:pPr>
      <w:r>
        <w:t>“</w:t>
      </w:r>
      <w:r w:rsidR="00755B76">
        <w:rPr>
          <w:b/>
          <w:color w:val="00188F"/>
        </w:rPr>
        <w:t>Máximo de Minutos Disponíveis</w:t>
      </w:r>
      <w:r>
        <w:t>”</w:t>
      </w:r>
      <w:r w:rsidR="00755B76">
        <w:t xml:space="preserve"> designa a soma de todos os Minutos de Implementação em todos os Azure AD B2C numa determinada subscrição do Microsoft Azure durante um Período Aplicável. </w:t>
      </w:r>
    </w:p>
    <w:p w14:paraId="19F0FA33" w14:textId="6C287562" w:rsidR="00755B76" w:rsidRPr="00EF7CF9" w:rsidRDefault="00755B76" w:rsidP="00F01ED6">
      <w:pPr>
        <w:pStyle w:val="ProductList-Body"/>
      </w:pPr>
      <w:r>
        <w:rPr>
          <w:b/>
          <w:color w:val="00188F"/>
        </w:rPr>
        <w:t>Período de Indisponibilidade</w:t>
      </w:r>
      <w:r w:rsidRPr="00473DD3">
        <w:rPr>
          <w:b/>
          <w:color w:val="00188F"/>
        </w:rPr>
        <w:t>:</w:t>
      </w:r>
      <w:r>
        <w:t xml:space="preserve"> designa o total de minutos acumulados em todos os diretórios do Azure AD B2C implementados pelo Cliente numa determinada subscrição do Microsoft Azure durante a qual o serviço Azure AD B2C está indisponível. Considera-se um minuto como indisponível quando todas as tentativas de processamento da inscrição e do início de sessão dos utilizadores falham na devolução de tokens ou Códigos de Erro</w:t>
      </w:r>
      <w:r w:rsidR="0091227A">
        <w:t> </w:t>
      </w:r>
      <w:r>
        <w:t>válidos, ou não devolvem respostas num prazo de dois minutos.</w:t>
      </w:r>
    </w:p>
    <w:p w14:paraId="434CF9C7" w14:textId="48B982A8"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171870" w14:textId="77777777" w:rsidR="00755B76" w:rsidRPr="00EF7CF9" w:rsidRDefault="00755B76" w:rsidP="00F01ED6">
      <w:pPr>
        <w:pStyle w:val="ProductList-Body"/>
      </w:pPr>
    </w:p>
    <w:p w14:paraId="40117607" w14:textId="4CEEEE49" w:rsidR="00755B76"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7567C88" w14:textId="77777777" w:rsidR="009A7BA1" w:rsidRDefault="009A7BA1" w:rsidP="00F01ED6">
      <w:pPr>
        <w:pStyle w:val="ProductList-Body"/>
        <w:rPr>
          <w:b/>
          <w:color w:val="00188F"/>
        </w:rPr>
      </w:pPr>
    </w:p>
    <w:p w14:paraId="78E9AF66" w14:textId="2F562858"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764696"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F01ED6">
            <w:pPr>
              <w:pStyle w:val="ProductList-OfferingBody"/>
              <w:jc w:val="center"/>
            </w:pPr>
            <w:r>
              <w:t>&lt; 99,99%</w:t>
            </w:r>
          </w:p>
        </w:tc>
        <w:tc>
          <w:tcPr>
            <w:tcW w:w="5400" w:type="dxa"/>
          </w:tcPr>
          <w:p w14:paraId="2D5A2E56" w14:textId="77777777" w:rsidR="00755B76" w:rsidRPr="00EF7CF9" w:rsidRDefault="00755B76" w:rsidP="00F01ED6">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F01ED6">
            <w:pPr>
              <w:pStyle w:val="ProductList-OfferingBody"/>
              <w:jc w:val="center"/>
            </w:pPr>
            <w:r>
              <w:t>&lt; 99,9%</w:t>
            </w:r>
          </w:p>
        </w:tc>
        <w:tc>
          <w:tcPr>
            <w:tcW w:w="5400" w:type="dxa"/>
          </w:tcPr>
          <w:p w14:paraId="2B621F20" w14:textId="77777777" w:rsidR="00755B76" w:rsidRPr="00EF7CF9" w:rsidRDefault="00755B76" w:rsidP="00F01ED6">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F01ED6">
            <w:pPr>
              <w:pStyle w:val="ProductList-OfferingBody"/>
              <w:jc w:val="center"/>
            </w:pPr>
            <w:r>
              <w:t>&lt; 99%</w:t>
            </w:r>
          </w:p>
        </w:tc>
        <w:tc>
          <w:tcPr>
            <w:tcW w:w="5400" w:type="dxa"/>
          </w:tcPr>
          <w:p w14:paraId="0AAEA41D" w14:textId="77777777" w:rsidR="00755B76" w:rsidRPr="00EF7CF9" w:rsidRDefault="00755B76" w:rsidP="00F01ED6">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F01ED6">
            <w:pPr>
              <w:pStyle w:val="ProductList-OfferingBody"/>
              <w:jc w:val="center"/>
            </w:pPr>
            <w:r>
              <w:t>&lt; 95%</w:t>
            </w:r>
          </w:p>
        </w:tc>
        <w:tc>
          <w:tcPr>
            <w:tcW w:w="5400" w:type="dxa"/>
          </w:tcPr>
          <w:p w14:paraId="5F0AE2B0" w14:textId="77777777" w:rsidR="00755B76" w:rsidRPr="00EF7CF9" w:rsidRDefault="00755B76" w:rsidP="00F01ED6">
            <w:pPr>
              <w:pStyle w:val="ProductList-OfferingBody"/>
              <w:jc w:val="center"/>
            </w:pPr>
            <w:r>
              <w:t>100%</w:t>
            </w:r>
          </w:p>
        </w:tc>
      </w:tr>
    </w:tbl>
    <w:p w14:paraId="7EA83E7D"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CD06780" w14:textId="74633485" w:rsidR="004005AF" w:rsidRPr="00EF7CF9" w:rsidRDefault="004A17FE" w:rsidP="00F01ED6">
      <w:pPr>
        <w:pStyle w:val="ProductList-Offering2Heading"/>
        <w:tabs>
          <w:tab w:val="clear" w:pos="360"/>
          <w:tab w:val="clear" w:pos="720"/>
          <w:tab w:val="clear" w:pos="1080"/>
        </w:tabs>
        <w:outlineLvl w:val="2"/>
      </w:pPr>
      <w:bookmarkStart w:id="116" w:name="_Toc182409612"/>
      <w:r>
        <w:t>Microsoft Entra</w:t>
      </w:r>
      <w:r w:rsidR="004005AF">
        <w:t xml:space="preserve"> Domain Services</w:t>
      </w:r>
      <w:bookmarkEnd w:id="110"/>
      <w:bookmarkEnd w:id="116"/>
    </w:p>
    <w:p w14:paraId="721F8060" w14:textId="77777777" w:rsidR="004005AF" w:rsidRPr="00EF7CF9" w:rsidRDefault="004005AF" w:rsidP="00F01ED6">
      <w:pPr>
        <w:pStyle w:val="ProductList-Body"/>
      </w:pPr>
      <w:r>
        <w:rPr>
          <w:b/>
          <w:color w:val="00188F"/>
        </w:rPr>
        <w:t>Definições Adicionais</w:t>
      </w:r>
      <w:r w:rsidRPr="00473DD3">
        <w:rPr>
          <w:b/>
          <w:color w:val="00188F"/>
        </w:rPr>
        <w:t>:</w:t>
      </w:r>
    </w:p>
    <w:p w14:paraId="3D8CCBC6" w14:textId="62383CEA" w:rsidR="004005AF" w:rsidRPr="00EF7CF9" w:rsidRDefault="00380305" w:rsidP="00F01ED6">
      <w:pPr>
        <w:spacing w:after="0" w:line="240" w:lineRule="auto"/>
        <w:rPr>
          <w:sz w:val="18"/>
        </w:rPr>
      </w:pPr>
      <w:r>
        <w:rPr>
          <w:sz w:val="18"/>
        </w:rPr>
        <w:t>“</w:t>
      </w:r>
      <w:r w:rsidR="004005AF">
        <w:rPr>
          <w:b/>
          <w:color w:val="00188F"/>
          <w:sz w:val="18"/>
        </w:rPr>
        <w:t>Domínio Gerido</w:t>
      </w:r>
      <w:r>
        <w:rPr>
          <w:sz w:val="18"/>
        </w:rPr>
        <w:t>”</w:t>
      </w:r>
      <w:r w:rsidR="004005AF">
        <w:rPr>
          <w:sz w:val="18"/>
        </w:rPr>
        <w:t xml:space="preserve"> </w:t>
      </w:r>
      <w:r w:rsidR="00DB405B">
        <w:rPr>
          <w:rFonts w:ascii="Calibri" w:hAnsi="Calibri" w:cs="Calibri"/>
          <w:sz w:val="18"/>
        </w:rPr>
        <w:t>designa um domínio do Active Directory que é aprovisionado e gerido pelo Microsoft Entra Domain Services</w:t>
      </w:r>
    </w:p>
    <w:p w14:paraId="5D725028" w14:textId="6F59D178" w:rsidR="004005AF" w:rsidRPr="00EF7CF9"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Domínio Gerido foi implementado pelo Cliente no Microsoft Azure durante um Período Aplicável numa determinada subscrição do Microsoft Azure. </w:t>
      </w:r>
    </w:p>
    <w:p w14:paraId="0579F796" w14:textId="3C0B6E0E"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total de minutos acumulados durante um Período Aplicável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331BDBEE" w14:textId="47099692"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4ED11A45" w14:textId="77777777" w:rsidR="004005AF" w:rsidRPr="00EF7CF9" w:rsidRDefault="004005AF" w:rsidP="00F01ED6">
      <w:pPr>
        <w:pStyle w:val="ProductList-Body"/>
      </w:pPr>
    </w:p>
    <w:p w14:paraId="46E9969E" w14:textId="10092107" w:rsidR="004005AF" w:rsidRPr="00A2017D" w:rsidRDefault="00000000" w:rsidP="00F01ED6">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97C9CA5" w14:textId="77777777" w:rsidR="009A306C" w:rsidRPr="00523950" w:rsidRDefault="009A306C" w:rsidP="009A306C">
      <w:pPr>
        <w:pStyle w:val="ProductList-Body"/>
        <w:rPr>
          <w:rFonts w:ascii="Calibri" w:hAnsi="Calibri" w:cs="Calibri"/>
        </w:rPr>
      </w:pPr>
      <w:r>
        <w:rPr>
          <w:rFonts w:ascii="Calibri" w:hAnsi="Calibri" w:cs="Calibri"/>
          <w:b/>
          <w:color w:val="00188F"/>
        </w:rPr>
        <w:t>Os Níveis de Serviço e os Créditos de Serviço são aplicáveis à utilização que o Cliente faz do Microsoft Entra Domain Services</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5748E1"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F01ED6">
            <w:pPr>
              <w:pStyle w:val="ProductList-OfferingBody"/>
              <w:jc w:val="center"/>
            </w:pPr>
            <w:r>
              <w:t>&lt; 99,9%</w:t>
            </w:r>
          </w:p>
        </w:tc>
        <w:tc>
          <w:tcPr>
            <w:tcW w:w="5400" w:type="dxa"/>
          </w:tcPr>
          <w:p w14:paraId="163D5793" w14:textId="77777777" w:rsidR="004005AF" w:rsidRPr="00EF7CF9" w:rsidRDefault="004005AF" w:rsidP="00F01ED6">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F01ED6">
            <w:pPr>
              <w:pStyle w:val="ProductList-OfferingBody"/>
              <w:keepNext/>
              <w:jc w:val="center"/>
            </w:pPr>
            <w:r>
              <w:t>&lt; 99%</w:t>
            </w:r>
          </w:p>
        </w:tc>
        <w:tc>
          <w:tcPr>
            <w:tcW w:w="5400" w:type="dxa"/>
          </w:tcPr>
          <w:p w14:paraId="6415A1FD" w14:textId="77777777" w:rsidR="004005AF" w:rsidRPr="00EF7CF9" w:rsidRDefault="004005AF" w:rsidP="00F01ED6">
            <w:pPr>
              <w:pStyle w:val="ProductList-OfferingBody"/>
              <w:jc w:val="center"/>
            </w:pPr>
            <w:r>
              <w:t>25%</w:t>
            </w:r>
          </w:p>
        </w:tc>
      </w:tr>
    </w:tbl>
    <w:bookmarkStart w:id="117" w:name="_Toc52348917"/>
    <w:p w14:paraId="455A63F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CEBBAD9" w14:textId="77777777" w:rsidR="004005AF" w:rsidRPr="00EF7CF9" w:rsidRDefault="004005AF" w:rsidP="00F01ED6">
      <w:pPr>
        <w:pStyle w:val="ProductList-Offering2Heading"/>
        <w:tabs>
          <w:tab w:val="clear" w:pos="360"/>
          <w:tab w:val="clear" w:pos="720"/>
          <w:tab w:val="clear" w:pos="1080"/>
        </w:tabs>
        <w:outlineLvl w:val="2"/>
      </w:pPr>
      <w:bookmarkStart w:id="118" w:name="_Toc182409613"/>
      <w:r>
        <w:t>Analysis Services</w:t>
      </w:r>
      <w:bookmarkEnd w:id="117"/>
      <w:bookmarkEnd w:id="118"/>
    </w:p>
    <w:p w14:paraId="5A6C05E0" w14:textId="77777777" w:rsidR="004005AF" w:rsidRPr="00EF7CF9" w:rsidRDefault="004005AF" w:rsidP="00F01ED6">
      <w:pPr>
        <w:pStyle w:val="ProductList-Body"/>
      </w:pPr>
      <w:r>
        <w:rPr>
          <w:b/>
          <w:color w:val="00188F"/>
        </w:rPr>
        <w:t>Definições Adicionais</w:t>
      </w:r>
      <w:r w:rsidRPr="00473DD3">
        <w:rPr>
          <w:b/>
          <w:color w:val="00188F"/>
        </w:rPr>
        <w:t>:</w:t>
      </w:r>
    </w:p>
    <w:p w14:paraId="7D2A438E" w14:textId="66227AC1" w:rsidR="004005AF" w:rsidRPr="00EF7CF9" w:rsidRDefault="00380305" w:rsidP="00F01ED6">
      <w:pPr>
        <w:pStyle w:val="ProductList-Body"/>
      </w:pPr>
      <w:r>
        <w:t>“</w:t>
      </w:r>
      <w:r w:rsidR="004005AF">
        <w:rPr>
          <w:b/>
          <w:color w:val="00188F"/>
        </w:rPr>
        <w:t>Servir</w:t>
      </w:r>
      <w:r>
        <w:t>”</w:t>
      </w:r>
      <w:r w:rsidR="004005AF">
        <w:t xml:space="preserve"> designa qualquer servidor do Azure Analysis Services. </w:t>
      </w:r>
    </w:p>
    <w:p w14:paraId="596E8EFA" w14:textId="55FA2EEC" w:rsidR="004005AF" w:rsidRPr="00EF7CF9" w:rsidRDefault="00380305" w:rsidP="00F01ED6">
      <w:pPr>
        <w:pStyle w:val="ProductList-Body"/>
      </w:pPr>
      <w:r>
        <w:t>“</w:t>
      </w:r>
      <w:r w:rsidR="004005AF">
        <w:rPr>
          <w:b/>
          <w:color w:val="00188F"/>
        </w:rPr>
        <w:t>Máximo de Minutos Disponíveis</w:t>
      </w:r>
      <w:r>
        <w:t>”</w:t>
      </w:r>
      <w:r w:rsidR="004005AF">
        <w:t xml:space="preserve"> designa o número total de minutos durante os quais um determinado Servidor foi implementado no Microsoft Azure durante um Período Aplicável numa determinada subscrição do Microsoft Azure. </w:t>
      </w:r>
    </w:p>
    <w:p w14:paraId="016FF859" w14:textId="7CDC413D" w:rsidR="004005AF" w:rsidRPr="00EF7CF9" w:rsidRDefault="00380305" w:rsidP="00F01ED6">
      <w:pPr>
        <w:pStyle w:val="ProductList-Body"/>
      </w:pPr>
      <w:r>
        <w:t>“</w:t>
      </w:r>
      <w:r w:rsidR="004005AF">
        <w:rPr>
          <w:b/>
          <w:color w:val="00188F"/>
        </w:rPr>
        <w:t>Operações do Cliente</w:t>
      </w:r>
      <w:r>
        <w:t>”</w:t>
      </w:r>
      <w:r w:rsidR="004005AF">
        <w:t xml:space="preserve"> é o conjunto de todas as operações documentadas suportadas pelo Azure Analysis Services. </w:t>
      </w:r>
    </w:p>
    <w:p w14:paraId="21FC0AC4" w14:textId="4307BA23" w:rsidR="004005AF" w:rsidRPr="00EF7CF9" w:rsidRDefault="004005AF" w:rsidP="00F01ED6">
      <w:pPr>
        <w:pStyle w:val="ProductList-Body"/>
      </w:pPr>
      <w:r>
        <w:rPr>
          <w:b/>
          <w:color w:val="00188F"/>
        </w:rPr>
        <w:t>Período de Indisponibilidade</w:t>
      </w:r>
      <w:r w:rsidRPr="00473DD3">
        <w:rPr>
          <w:b/>
          <w:color w:val="00188F"/>
        </w:rPr>
        <w:t>:</w:t>
      </w:r>
      <w:r>
        <w:t xml:space="preserve"> designa o total de minutos acumulados durante um Período Aplicável para uma determinada subscrição do Microsoft Azure durante o qual uma determinada Base de Dados está indisponível. Um minuto é considerado indisponível para um determinado Servidor se mais de 1% de todas as Operações do Cliente completadas durante esse minuto devolverem um Código de Erro.</w:t>
      </w:r>
    </w:p>
    <w:p w14:paraId="721BF4F7" w14:textId="5FFD455B"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Servidor é calculada com a</w:t>
      </w:r>
      <w:r w:rsidR="008331CE">
        <w:t> </w:t>
      </w:r>
      <w:r>
        <w:t xml:space="preserve">seguinte fórmula: </w:t>
      </w:r>
    </w:p>
    <w:p w14:paraId="359192A7" w14:textId="77777777" w:rsidR="004005AF" w:rsidRPr="00EF7CF9" w:rsidRDefault="004005AF" w:rsidP="00F01ED6">
      <w:pPr>
        <w:pStyle w:val="ProductList-Body"/>
      </w:pPr>
    </w:p>
    <w:p w14:paraId="2CB3F24D" w14:textId="1E9CE803"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63417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D0CF539"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F01ED6">
            <w:pPr>
              <w:pStyle w:val="ProductList-OfferingBody"/>
              <w:jc w:val="center"/>
            </w:pPr>
            <w:r>
              <w:t>&lt; 99,9%</w:t>
            </w:r>
          </w:p>
        </w:tc>
        <w:tc>
          <w:tcPr>
            <w:tcW w:w="5400" w:type="dxa"/>
          </w:tcPr>
          <w:p w14:paraId="25E97EF4" w14:textId="77777777" w:rsidR="004005AF" w:rsidRPr="00EF7CF9" w:rsidRDefault="004005AF" w:rsidP="00F01ED6">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F01ED6">
            <w:pPr>
              <w:pStyle w:val="ProductList-OfferingBody"/>
              <w:jc w:val="center"/>
            </w:pPr>
            <w:r>
              <w:t>&lt; 99%</w:t>
            </w:r>
          </w:p>
        </w:tc>
        <w:tc>
          <w:tcPr>
            <w:tcW w:w="5400" w:type="dxa"/>
          </w:tcPr>
          <w:p w14:paraId="57833F2A" w14:textId="77777777" w:rsidR="004005AF" w:rsidRPr="00EF7CF9" w:rsidRDefault="004005AF" w:rsidP="00F01ED6">
            <w:pPr>
              <w:pStyle w:val="ProductList-OfferingBody"/>
              <w:jc w:val="center"/>
            </w:pPr>
            <w:r>
              <w:t>25%</w:t>
            </w:r>
          </w:p>
        </w:tc>
      </w:tr>
    </w:tbl>
    <w:bookmarkStart w:id="119" w:name="_Toc52348918"/>
    <w:p w14:paraId="57E47E4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B89434" w14:textId="77777777" w:rsidR="00BE5E98" w:rsidRPr="00966705" w:rsidRDefault="00BE5E98" w:rsidP="00F01ED6">
      <w:pPr>
        <w:pStyle w:val="ProductList-Offering2Heading"/>
        <w:keepNext/>
        <w:tabs>
          <w:tab w:val="clear" w:pos="360"/>
          <w:tab w:val="clear" w:pos="720"/>
          <w:tab w:val="clear" w:pos="1080"/>
        </w:tabs>
        <w:outlineLvl w:val="2"/>
      </w:pPr>
      <w:bookmarkStart w:id="120" w:name="_Toc182409614"/>
      <w:r>
        <w:t>Azure API for FHIR</w:t>
      </w:r>
      <w:bookmarkEnd w:id="120"/>
    </w:p>
    <w:p w14:paraId="0D1A6CEE" w14:textId="640920AB" w:rsidR="00BE5E98" w:rsidRDefault="00380305" w:rsidP="00F01ED6">
      <w:pPr>
        <w:pStyle w:val="ProductList-Body"/>
      </w:pPr>
      <w:r>
        <w:t>“</w:t>
      </w:r>
      <w:r w:rsidR="00BE5E98">
        <w:rPr>
          <w:b/>
          <w:color w:val="00188F"/>
        </w:rPr>
        <w:t>Total de Tentativas de Transação</w:t>
      </w:r>
      <w:r>
        <w:t>”</w:t>
      </w:r>
      <w:r w:rsidR="00BE5E98">
        <w:t xml:space="preserve"> é o número total de pedidos autenticados do Azure API for FHIR efetuado pelo Cliente durante um Período Aplicável para uma determinada subscrição do Microsoft Azure. O Total de Tentativas de Transação não inclui os pedidos de API que devolvem um</w:t>
      </w:r>
      <w:r w:rsidR="00332CEE">
        <w:t> </w:t>
      </w:r>
      <w:r w:rsidR="00BE5E98">
        <w:t>Código de Erro e que são repetidos continuamente num intervalo de cinco minutos após a receção do primeiro Código de Erro.</w:t>
      </w:r>
    </w:p>
    <w:p w14:paraId="49D1985D" w14:textId="77777777" w:rsidR="00BE5E98" w:rsidRPr="00044317" w:rsidRDefault="00BE5E98" w:rsidP="00F01ED6">
      <w:pPr>
        <w:pStyle w:val="ProductList-Body"/>
        <w:rPr>
          <w:sz w:val="12"/>
          <w:szCs w:val="12"/>
        </w:rPr>
      </w:pPr>
    </w:p>
    <w:p w14:paraId="08CF0094" w14:textId="4A3C71FB" w:rsidR="00BE5E98" w:rsidRDefault="00380305" w:rsidP="00F01ED6">
      <w:pPr>
        <w:pStyle w:val="ProductList-Body"/>
      </w:pPr>
      <w:r>
        <w:t>“</w:t>
      </w:r>
      <w:r w:rsidR="00BE5E98">
        <w:rPr>
          <w:b/>
          <w:color w:val="00188F"/>
        </w:rPr>
        <w:t>Transações com Falha</w:t>
      </w:r>
      <w:r>
        <w:t>”</w:t>
      </w:r>
      <w:r w:rsidR="00BE5E98">
        <w:t xml:space="preserve"> é o conjunto de todos os pedidos incluídos no Total de Tentativas de Transação que resultam num Código de Erro ou que, de outro modo, não devolvem um Código de Êxito no prazo de 60 segundos após a receção por parte do Serviço Azure API for FHIR.</w:t>
      </w:r>
    </w:p>
    <w:p w14:paraId="0855EA9C" w14:textId="77777777" w:rsidR="00BE5E98" w:rsidRPr="00044317" w:rsidRDefault="00BE5E98" w:rsidP="00F01ED6">
      <w:pPr>
        <w:pStyle w:val="ProductList-Body"/>
        <w:rPr>
          <w:sz w:val="12"/>
          <w:szCs w:val="12"/>
        </w:rPr>
      </w:pPr>
    </w:p>
    <w:p w14:paraId="63162907" w14:textId="79B0863D" w:rsidR="00BE5E98" w:rsidRPr="00E53123" w:rsidRDefault="00EE6E3C" w:rsidP="00F01ED6">
      <w:pPr>
        <w:pStyle w:val="ProductList-Body"/>
        <w:rPr>
          <w:b/>
          <w:color w:val="00188F"/>
        </w:rPr>
      </w:pPr>
      <w:r>
        <w:rPr>
          <w:b/>
          <w:color w:val="00188F"/>
        </w:rPr>
        <w:t>Cálculo do Período de Disponibilidade</w:t>
      </w:r>
    </w:p>
    <w:p w14:paraId="6430E0E2" w14:textId="112D934C" w:rsidR="00BE5E98" w:rsidRDefault="00BE5E98" w:rsidP="00F01ED6">
      <w:pPr>
        <w:pStyle w:val="ProductList-Body"/>
      </w:pPr>
      <w:r>
        <w:t xml:space="preserve">A </w:t>
      </w:r>
      <w:r w:rsidR="00380305">
        <w:t>“</w:t>
      </w:r>
      <w:r>
        <w:t>Percentagem de Período de Disponibilidade</w:t>
      </w:r>
      <w:r w:rsidR="00380305">
        <w:t>”</w:t>
      </w:r>
      <w:r>
        <w:t xml:space="preserve"> para o Azure API for FHIR é calculada como o Total de Tentativas de Transação menos as Transações com Falha dividido pelo Total de Tentativas de Transação multiplicado por 100. A Percentagem de Período de Disponibilidade é</w:t>
      </w:r>
      <w:r w:rsidR="00F44E86">
        <w:t> </w:t>
      </w:r>
      <w:r>
        <w:t>representada pela seguinte fórmula:</w:t>
      </w:r>
    </w:p>
    <w:p w14:paraId="42303B28" w14:textId="77777777" w:rsidR="00BE5E98" w:rsidRPr="00044317" w:rsidRDefault="00BE5E98" w:rsidP="00F01ED6">
      <w:pPr>
        <w:pStyle w:val="ProductList-Body"/>
        <w:rPr>
          <w:sz w:val="12"/>
          <w:szCs w:val="12"/>
        </w:rPr>
      </w:pPr>
    </w:p>
    <w:p w14:paraId="4F5A4D70" w14:textId="64DAC331" w:rsidR="00BE5E9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49903A9B" w14:textId="77777777" w:rsidR="00BE5E98" w:rsidRDefault="00BE5E98" w:rsidP="00F01ED6">
      <w:pPr>
        <w:pStyle w:val="ProductList-Body"/>
      </w:pPr>
      <w:r>
        <w:t>Os seguintes Níveis de Serviço e Créditos de Serviço são aplicáveis ao Azure API for FHIR:</w:t>
      </w:r>
    </w:p>
    <w:p w14:paraId="3D2538E1" w14:textId="77777777" w:rsidR="00BE5E98" w:rsidRPr="00EF7CF9" w:rsidRDefault="00BE5E9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46F761" w14:textId="77777777" w:rsidR="00BE5E98" w:rsidRPr="00EF7CF9" w:rsidRDefault="00BE5E98" w:rsidP="00F01ED6">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F01ED6">
            <w:pPr>
              <w:pStyle w:val="ProductList-OfferingBody"/>
              <w:jc w:val="center"/>
            </w:pPr>
            <w:r>
              <w:t>&lt; 99,9%</w:t>
            </w:r>
          </w:p>
        </w:tc>
        <w:tc>
          <w:tcPr>
            <w:tcW w:w="5400" w:type="dxa"/>
          </w:tcPr>
          <w:p w14:paraId="087584E0" w14:textId="77777777" w:rsidR="00BE5E98" w:rsidRPr="00EF7CF9" w:rsidRDefault="00BE5E98" w:rsidP="00F01ED6">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F01ED6">
            <w:pPr>
              <w:pStyle w:val="ProductList-OfferingBody"/>
              <w:jc w:val="center"/>
            </w:pPr>
            <w:r>
              <w:t>&lt; 99%</w:t>
            </w:r>
          </w:p>
        </w:tc>
        <w:tc>
          <w:tcPr>
            <w:tcW w:w="5400" w:type="dxa"/>
          </w:tcPr>
          <w:p w14:paraId="65D28BFB" w14:textId="77777777" w:rsidR="00BE5E98" w:rsidRPr="00EF7CF9" w:rsidRDefault="00BE5E98" w:rsidP="00F01ED6">
            <w:pPr>
              <w:pStyle w:val="ProductList-OfferingBody"/>
              <w:jc w:val="center"/>
            </w:pPr>
            <w:r>
              <w:t>25%</w:t>
            </w:r>
          </w:p>
        </w:tc>
      </w:tr>
    </w:tbl>
    <w:p w14:paraId="68E8639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5A2758E" w14:textId="5CC89C70" w:rsidR="001D4537" w:rsidRDefault="00927E3F" w:rsidP="00173870">
      <w:pPr>
        <w:pStyle w:val="ProductList-Offering2Heading"/>
        <w:keepNext/>
        <w:keepLines/>
        <w:tabs>
          <w:tab w:val="clear" w:pos="360"/>
          <w:tab w:val="clear" w:pos="720"/>
          <w:tab w:val="clear" w:pos="1080"/>
        </w:tabs>
        <w:outlineLvl w:val="2"/>
        <w:rPr>
          <w:rFonts w:ascii="Calibri Light (heading)" w:hAnsi="Calibri Light (heading)" w:cs="Calibri Light"/>
        </w:rPr>
      </w:pPr>
      <w:bookmarkStart w:id="121" w:name="_Toc182409615"/>
      <w:r>
        <w:t>Servi</w:t>
      </w:r>
      <w:r w:rsidR="00B06335">
        <w:rPr>
          <w:rFonts w:ascii="Calibri Light (heading)" w:hAnsi="Calibri Light (heading)" w:cs="Calibri Light"/>
        </w:rPr>
        <w:t>ços do Centro de APIs</w:t>
      </w:r>
      <w:bookmarkEnd w:id="121"/>
    </w:p>
    <w:p w14:paraId="1E0F5010" w14:textId="77777777" w:rsidR="00A5229D" w:rsidRPr="0018346E" w:rsidRDefault="00A5229D" w:rsidP="00A5229D">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Definições Adicionais: </w:t>
      </w:r>
    </w:p>
    <w:p w14:paraId="4C7F3786" w14:textId="77777777"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Minutos de Implementação:</w:t>
      </w:r>
      <w:r>
        <w:rPr>
          <w:rFonts w:ascii="Calibri" w:eastAsia="Calibri" w:hAnsi="Calibri" w:cs="Arial"/>
          <w:color w:val="FF0000"/>
          <w:sz w:val="18"/>
        </w:rPr>
        <w:t xml:space="preserve"> </w:t>
      </w:r>
      <w:r>
        <w:rPr>
          <w:rFonts w:ascii="Calibri" w:eastAsia="Calibri" w:hAnsi="Calibri" w:cs="Arial"/>
          <w:sz w:val="18"/>
        </w:rPr>
        <w:t>designa o número total de minutos para os quais uma instância do Centro de APIs foi comprada durante um Período Aplicável. </w:t>
      </w:r>
    </w:p>
    <w:p w14:paraId="4781F4FC" w14:textId="77777777"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Ativos:</w:t>
      </w:r>
      <w:r>
        <w:rPr>
          <w:rFonts w:ascii="Calibri" w:eastAsia="Calibri" w:hAnsi="Calibri" w:cs="Arial"/>
          <w:sz w:val="18"/>
        </w:rPr>
        <w:t xml:space="preserve"> designa qualquer registo de ativos do Centro de APIs numa instância do Centro de APIs (tais como APIs, Definições de APIs, Versões de APIs, Implementações de APIs, Ambientes, Metadados). </w:t>
      </w:r>
    </w:p>
    <w:p w14:paraId="5FA03133" w14:textId="77777777"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Máximo de Minutos Disponíveis:</w:t>
      </w:r>
      <w:r>
        <w:rPr>
          <w:rFonts w:ascii="Calibri" w:eastAsia="Calibri" w:hAnsi="Calibri" w:cs="Arial"/>
          <w:color w:val="FF0000"/>
          <w:sz w:val="18"/>
        </w:rPr>
        <w:t xml:space="preserve"> </w:t>
      </w:r>
      <w:r>
        <w:rPr>
          <w:rFonts w:ascii="Calibri" w:eastAsia="Calibri" w:hAnsi="Calibri" w:cs="Arial"/>
          <w:sz w:val="18"/>
        </w:rPr>
        <w:t>designa a soma de todos os Minutos de Implementação para uma instância do Centro de APIs Dados associada a uma determinada subscrição do Microsoft Azure durante um Período Aplicável. </w:t>
      </w:r>
    </w:p>
    <w:p w14:paraId="1F8C6093" w14:textId="77777777"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Período de Indisponibilidade:</w:t>
      </w:r>
      <w:r>
        <w:rPr>
          <w:rFonts w:ascii="Calibri" w:eastAsia="Calibri" w:hAnsi="Calibri" w:cs="Arial"/>
          <w:color w:val="FF0000"/>
          <w:sz w:val="18"/>
        </w:rPr>
        <w:t xml:space="preserve"> </w:t>
      </w:r>
      <w:r>
        <w:rPr>
          <w:rFonts w:ascii="Calibri" w:eastAsia="Calibri" w:hAnsi="Calibri" w:cs="Arial"/>
          <w:sz w:val="18"/>
        </w:rPr>
        <w:t>designa o total acumulado de minutos durante o qual um determinado plano de dados do Centro de APIs está indisponível. Um minuto é considerado indisponível para uma determinada instância do Centro de APIs se todas as tentativas pelos utilizadores para executar chamadas de API dentro do plano de dados do Centro de APIs resultarem num Código de Erro ou não devolverem uma resposta no prazo de cinco minutos. </w:t>
      </w:r>
    </w:p>
    <w:p w14:paraId="6761A238" w14:textId="77777777"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Percentagem de Período de Disponibilidade:</w:t>
      </w:r>
      <w:r>
        <w:rPr>
          <w:rFonts w:ascii="Calibri" w:eastAsia="Calibri" w:hAnsi="Calibri" w:cs="Arial"/>
          <w:color w:val="FF0000"/>
          <w:sz w:val="18"/>
        </w:rPr>
        <w:t xml:space="preserve"> </w:t>
      </w:r>
      <w:r>
        <w:rPr>
          <w:rFonts w:ascii="Calibri" w:eastAsia="Calibri" w:hAnsi="Calibri" w:cs="Arial"/>
          <w:sz w:val="18"/>
        </w:rPr>
        <w:t>A Percentagem de Período de Disponibilidade é calculada através da seguinte fórmula: </w:t>
      </w:r>
    </w:p>
    <w:p w14:paraId="27992EBD" w14:textId="77777777" w:rsidR="00A5229D" w:rsidRPr="005D18E1" w:rsidRDefault="00A5229D" w:rsidP="00A5229D">
      <w:pPr>
        <w:spacing w:after="0" w:line="240" w:lineRule="auto"/>
        <w:textAlignment w:val="baseline"/>
        <w:rPr>
          <w:rFonts w:ascii="Calibri" w:eastAsia="Calibri" w:hAnsi="Calibri" w:cs="Arial"/>
          <w:color w:val="FF0000"/>
          <w:sz w:val="18"/>
        </w:rPr>
      </w:pPr>
    </w:p>
    <w:p w14:paraId="3AA2CDD2" w14:textId="77777777" w:rsidR="00A5229D" w:rsidRPr="005D18E1" w:rsidRDefault="00000000" w:rsidP="00A5229D">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Disponíveis-Período de Indisponibilidade </m:t>
              </m:r>
            </m:num>
            <m:den>
              <m:r>
                <w:rPr>
                  <w:rFonts w:ascii="Cambria Math" w:eastAsia="Calibri" w:hAnsi="Cambria Math" w:cs="Arial"/>
                  <w:sz w:val="18"/>
                  <w:szCs w:val="18"/>
                </w:rPr>
                <m:t>Máximo de Minutos Disponíveis</m:t>
              </m:r>
            </m:den>
          </m:f>
          <m:r>
            <w:rPr>
              <w:rFonts w:ascii="Cambria Math" w:eastAsia="Calibri" w:hAnsi="Cambria Math" w:cs="Arial"/>
              <w:sz w:val="18"/>
              <w:szCs w:val="18"/>
            </w:rPr>
            <m:t xml:space="preserve"> x 100</m:t>
          </m:r>
        </m:oMath>
      </m:oMathPara>
    </w:p>
    <w:p w14:paraId="12BEBDDE"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Gratuito escalado numa única região: </w:t>
      </w:r>
    </w:p>
    <w:p w14:paraId="3A86B98D" w14:textId="77777777" w:rsidR="00A5229D" w:rsidRPr="0018346E" w:rsidRDefault="00A5229D" w:rsidP="00A5229D">
      <w:pPr>
        <w:spacing w:after="0" w:line="240" w:lineRule="auto"/>
        <w:textAlignment w:val="baseline"/>
        <w:rPr>
          <w:rFonts w:ascii="Calibri" w:eastAsia="Calibri" w:hAnsi="Calibri" w:cs="Arial"/>
          <w:sz w:val="18"/>
        </w:rPr>
      </w:pPr>
      <w:r>
        <w:rPr>
          <w:rFonts w:ascii="Calibri" w:eastAsia="Calibri" w:hAnsi="Calibri" w:cs="Arial"/>
          <w:sz w:val="18"/>
        </w:rPr>
        <w:t>Sem SLA</w:t>
      </w:r>
    </w:p>
    <w:p w14:paraId="7308875A"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Padrão escalado numa única região: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5229D" w:rsidRPr="00E075C6" w14:paraId="405192DF"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93D835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E3FC4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 </w:t>
            </w:r>
          </w:p>
        </w:tc>
      </w:tr>
      <w:tr w:rsidR="00A5229D" w:rsidRPr="00E075C6" w14:paraId="4C576A61"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47C4A82"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F431A5D"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229D" w:rsidRPr="00E075C6" w14:paraId="17A04E2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098EA2C"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55C7925"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91C8039" w14:textId="77777777" w:rsidR="00A5229D" w:rsidRPr="00EF7CF9" w:rsidRDefault="00A5229D" w:rsidP="00A5229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3B44625" w14:textId="385BD260" w:rsidR="004005AF" w:rsidRPr="00EF7CF9" w:rsidRDefault="004005AF" w:rsidP="00173870">
      <w:pPr>
        <w:pStyle w:val="ProductList-Offering2Heading"/>
        <w:keepNext/>
        <w:keepLines/>
        <w:tabs>
          <w:tab w:val="clear" w:pos="360"/>
          <w:tab w:val="clear" w:pos="720"/>
          <w:tab w:val="clear" w:pos="1080"/>
        </w:tabs>
        <w:outlineLvl w:val="2"/>
      </w:pPr>
      <w:bookmarkStart w:id="122" w:name="_Toc182409616"/>
      <w:r>
        <w:t>API Management Services</w:t>
      </w:r>
      <w:bookmarkEnd w:id="111"/>
      <w:bookmarkEnd w:id="119"/>
      <w:bookmarkEnd w:id="122"/>
    </w:p>
    <w:p w14:paraId="55F3B515" w14:textId="77777777" w:rsidR="004005AF" w:rsidRPr="00EF7CF9" w:rsidRDefault="004005AF" w:rsidP="00173870">
      <w:pPr>
        <w:pStyle w:val="ProductList-Body"/>
        <w:keepNext/>
        <w:keepLines/>
      </w:pPr>
      <w:r>
        <w:rPr>
          <w:b/>
          <w:color w:val="00188F"/>
        </w:rPr>
        <w:t>Definições Adicionais</w:t>
      </w:r>
      <w:r w:rsidRPr="00473DD3">
        <w:rPr>
          <w:b/>
          <w:color w:val="00188F"/>
        </w:rPr>
        <w:t>:</w:t>
      </w:r>
    </w:p>
    <w:p w14:paraId="0176D6F3" w14:textId="56E060D1" w:rsidR="004005AF" w:rsidRPr="00EF7CF9" w:rsidRDefault="00380305" w:rsidP="00F01ED6">
      <w:pPr>
        <w:pStyle w:val="ProductList-Body"/>
        <w:spacing w:after="40"/>
      </w:pPr>
      <w:r>
        <w:t>“</w:t>
      </w:r>
      <w:r w:rsidR="004005AF">
        <w:rPr>
          <w:b/>
          <w:color w:val="00188F"/>
        </w:rPr>
        <w:t>Minutos de Implementação</w:t>
      </w:r>
      <w:r>
        <w:t>”</w:t>
      </w:r>
      <w:r w:rsidR="004005AF">
        <w:t xml:space="preserve"> designa o número total de minutos durante os quais uma determinada instância da Gestão de API foi implementada no Microsoft Azure durante um Período Aplicável.</w:t>
      </w:r>
    </w:p>
    <w:p w14:paraId="4720E678" w14:textId="40255CA9"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instâncias de Gestão de API implementadas pelo Cliente numa determinada subscrição do Microsoft Azure durante um Período Aplicável.</w:t>
      </w:r>
    </w:p>
    <w:p w14:paraId="54365A4B" w14:textId="42EFC3D6" w:rsidR="004005AF" w:rsidRPr="00EF7CF9" w:rsidRDefault="00380305" w:rsidP="00F01ED6">
      <w:pPr>
        <w:pStyle w:val="ProductList-Body"/>
      </w:pPr>
      <w:r>
        <w:t>“</w:t>
      </w:r>
      <w:r w:rsidR="004005AF">
        <w:rPr>
          <w:b/>
          <w:color w:val="00188F"/>
        </w:rPr>
        <w:t>Proxy</w:t>
      </w:r>
      <w:r>
        <w:t>”</w:t>
      </w:r>
      <w:r w:rsidR="004005AF">
        <w:t xml:space="preserve"> é o componente do Serviço de Gestão de API responsável pela receção dos pedidos de API e pelo respetivo reencaminhamento para a API dependente configurada.</w:t>
      </w:r>
    </w:p>
    <w:p w14:paraId="6AEBE793" w14:textId="77777777" w:rsidR="004005AF" w:rsidRPr="00EF7CF9" w:rsidRDefault="004005AF" w:rsidP="00F01ED6">
      <w:pPr>
        <w:pStyle w:val="ProductList-Body"/>
      </w:pPr>
      <w:r>
        <w:rPr>
          <w:b/>
          <w:color w:val="00188F"/>
        </w:rPr>
        <w:t>Período de Indisponibilidade</w:t>
      </w:r>
      <w:r w:rsidRPr="00473DD3">
        <w:rPr>
          <w:b/>
          <w:color w:val="00188F"/>
        </w:rPr>
        <w:t>:</w:t>
      </w:r>
      <w:r>
        <w:t xml:space="preserve"> O total de Minutos de Implementação acumulados, em todas as instâncias de Gestão de API implementadas pelo Cliente numa determinada subscrição do Microsoft Azure, no qual o Serviço de Gestão de API está indisponível. 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0127167" w14:textId="15FEB2D6"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7E953B94" w14:textId="77777777" w:rsidR="004005AF" w:rsidRPr="00EF7CF9" w:rsidRDefault="004005AF" w:rsidP="00F01ED6">
      <w:pPr>
        <w:pStyle w:val="ProductList-Body"/>
      </w:pPr>
    </w:p>
    <w:p w14:paraId="3E1BA1B0" w14:textId="09BAC6B5"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516BFC5" w14:textId="77777777" w:rsidR="004005AF" w:rsidRPr="00EF7CF9" w:rsidRDefault="004005AF" w:rsidP="00F01ED6">
      <w:pPr>
        <w:pStyle w:val="ProductList-Body"/>
      </w:pPr>
      <w:r>
        <w:rPr>
          <w:b/>
          <w:color w:val="00188F"/>
        </w:rPr>
        <w:t>Crédito de Serviço para as implementações da Camada Consumption, Camada Basic, Standard e Premium escaladas numa única região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159D0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F01ED6">
            <w:pPr>
              <w:pStyle w:val="ProductList-OfferingBody"/>
              <w:jc w:val="center"/>
            </w:pPr>
            <w:r>
              <w:t>&lt; 99,95%</w:t>
            </w:r>
          </w:p>
        </w:tc>
        <w:tc>
          <w:tcPr>
            <w:tcW w:w="5400" w:type="dxa"/>
          </w:tcPr>
          <w:p w14:paraId="33CEAC16" w14:textId="77777777" w:rsidR="004005AF" w:rsidRPr="00EF7CF9" w:rsidRDefault="004005AF" w:rsidP="00F01ED6">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F01ED6">
            <w:pPr>
              <w:pStyle w:val="ProductList-OfferingBody"/>
              <w:jc w:val="center"/>
            </w:pPr>
            <w:r>
              <w:t>&lt; 99%</w:t>
            </w:r>
          </w:p>
        </w:tc>
        <w:tc>
          <w:tcPr>
            <w:tcW w:w="5400" w:type="dxa"/>
          </w:tcPr>
          <w:p w14:paraId="1E92A785" w14:textId="77777777" w:rsidR="004005AF" w:rsidRPr="00EF7CF9" w:rsidRDefault="004005AF" w:rsidP="00F01ED6">
            <w:pPr>
              <w:pStyle w:val="ProductList-OfferingBody"/>
              <w:jc w:val="center"/>
            </w:pPr>
            <w:r>
              <w:t>25%</w:t>
            </w:r>
          </w:p>
        </w:tc>
      </w:tr>
    </w:tbl>
    <w:p w14:paraId="3213231A" w14:textId="77777777" w:rsidR="004005AF" w:rsidRPr="00044317" w:rsidRDefault="004005AF" w:rsidP="00F01ED6">
      <w:pPr>
        <w:pStyle w:val="ProductList-Body"/>
        <w:rPr>
          <w:sz w:val="12"/>
          <w:szCs w:val="12"/>
        </w:rPr>
      </w:pPr>
    </w:p>
    <w:p w14:paraId="2336717E" w14:textId="77777777" w:rsidR="004005AF" w:rsidRPr="00EF7CF9" w:rsidRDefault="004005AF" w:rsidP="00F01ED6">
      <w:pPr>
        <w:pStyle w:val="ProductList-Body"/>
        <w:rPr>
          <w:b/>
          <w:color w:val="00188F"/>
        </w:rPr>
      </w:pPr>
      <w:r>
        <w:rPr>
          <w:b/>
          <w:color w:val="00188F"/>
        </w:rPr>
        <w:t>Implementações do Crédito de Serviço para a Camada Premium escaladas em duas ou mais regiões</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C7D83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F01ED6">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F01ED6">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F01ED6">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F01ED6">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13047D6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6F39B64" w14:textId="06922C84" w:rsidR="004F4126" w:rsidRPr="00EF7CF9" w:rsidRDefault="004F4126" w:rsidP="00F01ED6">
      <w:pPr>
        <w:pStyle w:val="ProductList-Offering2Heading"/>
        <w:keepNext/>
        <w:tabs>
          <w:tab w:val="clear" w:pos="360"/>
          <w:tab w:val="clear" w:pos="720"/>
          <w:tab w:val="clear" w:pos="1080"/>
        </w:tabs>
        <w:outlineLvl w:val="2"/>
      </w:pPr>
      <w:bookmarkStart w:id="127" w:name="_Toc182409617"/>
      <w:r>
        <w:t>App Center</w:t>
      </w:r>
      <w:bookmarkEnd w:id="124"/>
      <w:bookmarkEnd w:id="127"/>
    </w:p>
    <w:p w14:paraId="3A9D0D7E" w14:textId="77777777" w:rsidR="004F4126" w:rsidRPr="00EF7CF9" w:rsidRDefault="004F4126" w:rsidP="00F01ED6">
      <w:pPr>
        <w:pStyle w:val="ProductList-Body"/>
        <w:keepNext/>
        <w:rPr>
          <w:b/>
          <w:color w:val="00188F"/>
        </w:rPr>
      </w:pPr>
      <w:r>
        <w:rPr>
          <w:b/>
          <w:color w:val="00188F"/>
        </w:rPr>
        <w:t>Definições Adicionais</w:t>
      </w:r>
      <w:r w:rsidRPr="00473DD3">
        <w:rPr>
          <w:b/>
          <w:color w:val="00188F"/>
        </w:rPr>
        <w:t>:</w:t>
      </w:r>
    </w:p>
    <w:p w14:paraId="361B5D29" w14:textId="77754D30" w:rsidR="004F4126" w:rsidRPr="00EF7CF9" w:rsidRDefault="00380305" w:rsidP="00F01ED6">
      <w:pPr>
        <w:pStyle w:val="ProductList-Body"/>
      </w:pPr>
      <w:r>
        <w:t>“</w:t>
      </w:r>
      <w:r w:rsidR="004F4126">
        <w:rPr>
          <w:b/>
          <w:color w:val="00188F"/>
        </w:rPr>
        <w:t>Serviço de Compilação</w:t>
      </w:r>
      <w:r>
        <w:t>”</w:t>
      </w:r>
      <w:r w:rsidR="004F4126">
        <w:t xml:space="preserve"> é uma funcionalidade que permite aos clientes compilarem as respetivas aplicações móveis no Visual Studio App Center.</w:t>
      </w:r>
    </w:p>
    <w:p w14:paraId="52D1C52F" w14:textId="635008D9" w:rsidR="004F4126" w:rsidRPr="009E2B16" w:rsidRDefault="00380305" w:rsidP="00F01ED6">
      <w:pPr>
        <w:spacing w:after="0" w:line="240" w:lineRule="auto"/>
        <w:rPr>
          <w:sz w:val="18"/>
          <w:szCs w:val="18"/>
        </w:rPr>
      </w:pPr>
      <w:r>
        <w:rPr>
          <w:sz w:val="18"/>
          <w:szCs w:val="18"/>
        </w:rPr>
        <w:t>“</w:t>
      </w:r>
      <w:r w:rsidR="004F4126">
        <w:rPr>
          <w:b/>
          <w:color w:val="00188F"/>
          <w:sz w:val="18"/>
        </w:rPr>
        <w:t>Serviço de Testes</w:t>
      </w:r>
      <w:r>
        <w:rPr>
          <w:sz w:val="18"/>
          <w:szCs w:val="18"/>
        </w:rPr>
        <w:t>”</w:t>
      </w:r>
      <w:r w:rsidR="004F4126">
        <w:rPr>
          <w:sz w:val="18"/>
          <w:szCs w:val="18"/>
        </w:rPr>
        <w:t xml:space="preserve"> é uma funcionalidade que permite aos clientes carregar e executar testes para as respetivas aplicações móveis em dispositivos físicos em execução no Visual Studio App Center. </w:t>
      </w:r>
    </w:p>
    <w:p w14:paraId="54868D5D" w14:textId="705897C7" w:rsidR="004F4126" w:rsidRPr="00EF7CF9" w:rsidRDefault="00380305" w:rsidP="00F01ED6">
      <w:pPr>
        <w:pStyle w:val="ProductList-Body"/>
      </w:pPr>
      <w:r>
        <w:rPr>
          <w:szCs w:val="18"/>
        </w:rPr>
        <w:t>“</w:t>
      </w:r>
      <w:r w:rsidR="004F4126">
        <w:rPr>
          <w:b/>
          <w:color w:val="00188F"/>
          <w:szCs w:val="18"/>
        </w:rPr>
        <w:t>Serviço de Notificações Push</w:t>
      </w:r>
      <w:r>
        <w:rPr>
          <w:szCs w:val="18"/>
        </w:rPr>
        <w:t>”</w:t>
      </w:r>
      <w:r w:rsidR="004F4126">
        <w:rPr>
          <w:szCs w:val="18"/>
        </w:rPr>
        <w:t xml:space="preserve"> é uma funcionalidade que permite aos clientes emitir mensagens via push para dispositivos específicos configurados para receberem estas mensagens através do Visual Studio App Center.</w:t>
      </w:r>
      <w:r w:rsidR="004F4126">
        <w:t xml:space="preserve"> </w:t>
      </w:r>
    </w:p>
    <w:p w14:paraId="48EA1B33" w14:textId="4A20E88B" w:rsidR="004F4126" w:rsidRPr="00ED4527" w:rsidRDefault="00EE6E3C" w:rsidP="00F01ED6">
      <w:pPr>
        <w:pStyle w:val="ProductList-Body"/>
        <w:spacing w:before="120"/>
        <w:rPr>
          <w:b/>
          <w:bCs/>
          <w:color w:val="00188F"/>
        </w:rPr>
      </w:pPr>
      <w:r>
        <w:rPr>
          <w:b/>
          <w:bCs/>
          <w:color w:val="00188F"/>
        </w:rPr>
        <w:t>Cálculo do Período de Disponibilidade e Níveis de Serviço para o Serviço de Compilação do Visual Studio App Center</w:t>
      </w:r>
    </w:p>
    <w:p w14:paraId="58225B60" w14:textId="6C8D4E23"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Compilação esteve implementado pelo Cliente para uma determinada subscrição do Microsoft Azure durante um Período Aplicável.</w:t>
      </w:r>
    </w:p>
    <w:p w14:paraId="391868A3" w14:textId="377F8448" w:rsidR="004F4126" w:rsidRPr="00EF7CF9" w:rsidRDefault="00380305" w:rsidP="00F01ED6">
      <w:pPr>
        <w:pStyle w:val="ProductList-Body"/>
      </w:pPr>
      <w:r>
        <w:t>“</w:t>
      </w:r>
      <w:r w:rsidR="004F4126">
        <w:rPr>
          <w:b/>
          <w:color w:val="00188F"/>
        </w:rPr>
        <w:t>Período de Indisponibilidade</w:t>
      </w:r>
      <w:r>
        <w:t>”</w:t>
      </w:r>
      <w:r w:rsidR="004F4126">
        <w:t xml:space="preserve"> designa o número total de minutos no Máximo de Minutos Disponíveis durante o qual o Serviço de Compilação está indisponível. Um minuto é considerado indisponível se todos os pedidos de HTTP contínuos para o Serviço de Compilação para executar operações iniciadas pelo Cliente nesse minuto resultarem num Código de Erro ou se não devolverem uma resposta ao fim de um minuto.</w:t>
      </w:r>
    </w:p>
    <w:p w14:paraId="78730B3B" w14:textId="408D97C7"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Compilação do Visual Studio App Center é calculada como o Máximo de Minutos Disponíveis menos o Período de Indisponibilidade, dividido pelo Máximo de Minutos Disponíveis e</w:t>
      </w:r>
      <w:r w:rsidR="00173870">
        <w:t> </w:t>
      </w:r>
      <w:r>
        <w:t>multiplicado por 100. A Percentagem de Período de Disponibilidade é representada pela seguinte fórmula:</w:t>
      </w:r>
    </w:p>
    <w:p w14:paraId="7082C45A" w14:textId="77777777" w:rsidR="004F4126" w:rsidRPr="00EF7CF9" w:rsidRDefault="004F4126" w:rsidP="00F01ED6">
      <w:pPr>
        <w:pStyle w:val="ProductList-Body"/>
      </w:pPr>
    </w:p>
    <w:p w14:paraId="63B39C84" w14:textId="34091B7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8F96D0" w14:textId="3AE0CA7D" w:rsidR="00881D39" w:rsidRPr="000C03EC" w:rsidRDefault="004F4126" w:rsidP="00173870">
      <w:pPr>
        <w:spacing w:line="240" w:lineRule="auto"/>
        <w:rPr>
          <w:rFonts w:eastAsiaTheme="minorEastAsia"/>
          <w:spacing w:val="-3"/>
          <w:sz w:val="18"/>
          <w:szCs w:val="18"/>
          <w:lang w:eastAsia="zh-TW"/>
        </w:rPr>
      </w:pPr>
      <w:r w:rsidRPr="000C03EC">
        <w:rPr>
          <w:rFonts w:eastAsiaTheme="minorEastAsia"/>
          <w:spacing w:val="-3"/>
          <w:sz w:val="18"/>
          <w:szCs w:val="18"/>
        </w:rPr>
        <w:t xml:space="preserve">Os seguintes Níveis de Serviço e Créditos de Serviço são aplicáveis à utilização que o Cliente faz do Serviço de Compilação do Visual Studio App Center. </w:t>
      </w:r>
    </w:p>
    <w:p w14:paraId="16509D13" w14:textId="3CE4A4B5"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A61800C"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F01ED6">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F01ED6">
            <w:pPr>
              <w:pStyle w:val="ProductList-OfferingBody"/>
              <w:jc w:val="center"/>
            </w:pPr>
            <w:r>
              <w:t>25%</w:t>
            </w:r>
          </w:p>
        </w:tc>
      </w:tr>
    </w:tbl>
    <w:p w14:paraId="72984DD3" w14:textId="5ED863CC" w:rsidR="004F4126" w:rsidRPr="00ED4527" w:rsidRDefault="00EE6E3C" w:rsidP="00F01ED6">
      <w:pPr>
        <w:pStyle w:val="ProductList-Body"/>
        <w:spacing w:before="240"/>
        <w:rPr>
          <w:b/>
          <w:bCs/>
          <w:color w:val="00188F"/>
        </w:rPr>
      </w:pPr>
      <w:r>
        <w:rPr>
          <w:b/>
          <w:bCs/>
          <w:color w:val="00188F"/>
        </w:rPr>
        <w:t>Cálculo do Período de Disponibilidade e Níveis de Serviço para o Serviço de Testes do Visual Studio App Center</w:t>
      </w:r>
    </w:p>
    <w:p w14:paraId="57EE826D" w14:textId="79A491AE"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Teste esteve implementado pelo Cliente para uma determinada subscrição do Microsoft Azure durante um Período Aplicável.</w:t>
      </w:r>
    </w:p>
    <w:p w14:paraId="740E634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no Máximo de Minutos Disponíveis durante o qual o Serviço de Testes está indisponível. Um minuto é considerado indisponível se todos os pedidos de HTTP contínuos para o Serviço de Testes para executar operações iniciadas pelo Cliente nesse minuto resultarem num Código de Erro ou se não devolverem uma resposta ao fim de um minuto.</w:t>
      </w:r>
    </w:p>
    <w:p w14:paraId="670409F6" w14:textId="2382433F"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Teste do Visual Studio App Center é</w:t>
      </w:r>
      <w:r w:rsidR="00903C90">
        <w:t> </w:t>
      </w:r>
      <w:r>
        <w:t>calculada como o Máximo de Minutos Disponíveis menos o Período de Indisponibilidade, dividido pelo Máximo de Minutos Disponíveis e</w:t>
      </w:r>
      <w:r w:rsidR="00903C90">
        <w:t> </w:t>
      </w:r>
      <w:r>
        <w:t>multiplicado por 100. A Percentagem de Período de Disponibilidade é representada pela seguinte fórmula:</w:t>
      </w:r>
    </w:p>
    <w:p w14:paraId="20FF1AC7" w14:textId="77777777" w:rsidR="004F4126" w:rsidRPr="000C03EC" w:rsidRDefault="004F4126" w:rsidP="00F01ED6">
      <w:pPr>
        <w:pStyle w:val="ProductList-Body"/>
        <w:rPr>
          <w:sz w:val="16"/>
        </w:rPr>
      </w:pPr>
    </w:p>
    <w:p w14:paraId="75B31A28" w14:textId="09498C4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2FF76E0" w14:textId="5CC4F79F" w:rsidR="004F4126" w:rsidRPr="00EF7CF9"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Testes do Visual Studio App Center. </w:t>
      </w:r>
    </w:p>
    <w:p w14:paraId="4D806370" w14:textId="77777777" w:rsidR="004F4126" w:rsidRPr="00173870" w:rsidRDefault="004F4126" w:rsidP="00F01ED6">
      <w:pPr>
        <w:pStyle w:val="ProductList-Body"/>
        <w:rPr>
          <w:szCs w:val="18"/>
        </w:rPr>
      </w:pPr>
    </w:p>
    <w:p w14:paraId="5173A776" w14:textId="77777777" w:rsidR="004F4126" w:rsidRPr="00EF7CF9" w:rsidRDefault="004F41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FD2B288"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F01ED6">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F01ED6">
            <w:pPr>
              <w:pStyle w:val="ProductList-OfferingBody"/>
              <w:keepNext/>
              <w:jc w:val="center"/>
            </w:pPr>
            <w:r>
              <w:t>25%</w:t>
            </w:r>
          </w:p>
        </w:tc>
      </w:tr>
    </w:tbl>
    <w:p w14:paraId="557FDEE6" w14:textId="72E7A5C8" w:rsidR="004F4126" w:rsidRPr="00ED4527" w:rsidRDefault="00EE6E3C" w:rsidP="00F01ED6">
      <w:pPr>
        <w:pStyle w:val="ProductList-Body"/>
        <w:rPr>
          <w:b/>
          <w:bCs/>
          <w:color w:val="00188F"/>
        </w:rPr>
      </w:pPr>
      <w:r>
        <w:rPr>
          <w:b/>
          <w:bCs/>
          <w:color w:val="00188F"/>
        </w:rPr>
        <w:t>Cálculo do Período de Disponibilidade e Níveis de Serviço para o Serviço de Notificações Push do Visual Studio App Center</w:t>
      </w:r>
    </w:p>
    <w:p w14:paraId="2597119F" w14:textId="0D3AF718"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Notificações Push esteve implementado pelo Cliente para uma determinada subscrição do Microsoft Azure durante um Período Aplicável.</w:t>
      </w:r>
    </w:p>
    <w:p w14:paraId="2F8BC21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de Notificações Push está indisponível. Um minuto é considerado indisponível se todos os pedidos de HTTP contínuos para o Serviço de Notificações Push para executar operações iniciadas pelo Cliente nesse minuto resultarem num Código de Erro ou se não devolverem uma resposta ao fim de um minuto.</w:t>
      </w:r>
    </w:p>
    <w:p w14:paraId="1FA221E9" w14:textId="05657BF6"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Notificações Push do Visual Studio App Center é calculada como o Máximo de Minutos Disponíveis menos o Período de Indisponibilidade, dividido pelo Máximo de Minutos Disponíveis e multiplicado por 100. A Percentagem de Período de Disponibilidade é representada pela seguinte fórmula:</w:t>
      </w:r>
    </w:p>
    <w:p w14:paraId="29FB9F8B" w14:textId="77777777" w:rsidR="004F4126" w:rsidRPr="000C03EC" w:rsidRDefault="004F4126" w:rsidP="00F01ED6">
      <w:pPr>
        <w:pStyle w:val="ProductList-Body"/>
        <w:rPr>
          <w:sz w:val="16"/>
        </w:rPr>
      </w:pPr>
    </w:p>
    <w:p w14:paraId="35245E4E" w14:textId="7FE17FA0" w:rsidR="004F4126" w:rsidRPr="00EF7CF9" w:rsidRDefault="00000000" w:rsidP="00E563F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42A2C3" w14:textId="0B5C8347" w:rsidR="004F4126" w:rsidRPr="00D9543D"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Notificações Push do Visual Studio App Center. </w:t>
      </w:r>
    </w:p>
    <w:p w14:paraId="4A6AF72B" w14:textId="77777777" w:rsidR="004F4126" w:rsidRPr="000C03EC" w:rsidRDefault="004F4126" w:rsidP="00F01ED6">
      <w:pPr>
        <w:pStyle w:val="ProductList-Body"/>
        <w:rPr>
          <w:sz w:val="16"/>
        </w:rPr>
      </w:pPr>
    </w:p>
    <w:p w14:paraId="04990EC8" w14:textId="77777777"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5C51A762" w14:textId="77777777" w:rsidR="004F4126" w:rsidRPr="00EF7CF9" w:rsidRDefault="004F4126" w:rsidP="00F01ED6">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F01ED6">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F01ED6">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F01ED6">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F01ED6">
            <w:pPr>
              <w:pStyle w:val="ProductList-OfferingBody"/>
              <w:keepNext/>
              <w:jc w:val="center"/>
            </w:pPr>
            <w:r>
              <w:t>25%</w:t>
            </w:r>
          </w:p>
        </w:tc>
      </w:tr>
    </w:tbl>
    <w:p w14:paraId="5B9BC00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6D1359D" w14:textId="77777777" w:rsidR="00012F9F" w:rsidRPr="00012F9F" w:rsidRDefault="00012F9F" w:rsidP="00F01ED6">
      <w:pPr>
        <w:pStyle w:val="ProductList-Offering2Heading"/>
        <w:keepNext/>
        <w:tabs>
          <w:tab w:val="clear" w:pos="360"/>
          <w:tab w:val="clear" w:pos="720"/>
          <w:tab w:val="clear" w:pos="1080"/>
        </w:tabs>
        <w:outlineLvl w:val="2"/>
      </w:pPr>
      <w:bookmarkStart w:id="128" w:name="_Toc182409618"/>
      <w:r>
        <w:t>App Configuration</w:t>
      </w:r>
      <w:bookmarkEnd w:id="128"/>
    </w:p>
    <w:p w14:paraId="4302A28C" w14:textId="77777777" w:rsidR="00012F9F" w:rsidRPr="00852CBF" w:rsidRDefault="00012F9F" w:rsidP="00F01ED6">
      <w:pPr>
        <w:pStyle w:val="ProductList-Body"/>
        <w:rPr>
          <w:b/>
          <w:color w:val="00188F"/>
        </w:rPr>
      </w:pPr>
      <w:r>
        <w:rPr>
          <w:b/>
          <w:color w:val="00188F"/>
        </w:rPr>
        <w:t>Definições Adicionais</w:t>
      </w:r>
    </w:p>
    <w:p w14:paraId="5722BEE2" w14:textId="22895687" w:rsidR="00012F9F" w:rsidRDefault="00380305" w:rsidP="00F01ED6">
      <w:pPr>
        <w:pStyle w:val="ProductList-Body"/>
      </w:pPr>
      <w:r>
        <w:t>“</w:t>
      </w:r>
      <w:r w:rsidR="00012F9F">
        <w:rPr>
          <w:b/>
          <w:bCs/>
          <w:color w:val="00188F"/>
        </w:rPr>
        <w:t>Arquivo de Configuração</w:t>
      </w:r>
      <w:r>
        <w:t>”</w:t>
      </w:r>
      <w:r w:rsidR="00012F9F">
        <w:t xml:space="preserve"> designa uma implementação individual do Azure App Configuration criada pelo Cliente para que seja enumerada no separador App Configuration no Portal de Gestão.</w:t>
      </w:r>
    </w:p>
    <w:p w14:paraId="3D0036CD" w14:textId="460527E4" w:rsidR="00012F9F" w:rsidRPr="00852CBF" w:rsidRDefault="00EE6E3C" w:rsidP="00F01ED6">
      <w:pPr>
        <w:pStyle w:val="ProductList-Body"/>
        <w:spacing w:before="120"/>
        <w:rPr>
          <w:b/>
          <w:bCs/>
          <w:color w:val="00188F"/>
        </w:rPr>
      </w:pPr>
      <w:r>
        <w:rPr>
          <w:b/>
          <w:bCs/>
          <w:color w:val="00188F"/>
        </w:rPr>
        <w:t>Cálculo do Período de Disponibilidade e Níveis de Serviço para o Azure App Configuration</w:t>
      </w:r>
    </w:p>
    <w:p w14:paraId="4C4328F8" w14:textId="737172B5" w:rsidR="00012F9F" w:rsidRDefault="00380305" w:rsidP="00F01ED6">
      <w:pPr>
        <w:pStyle w:val="ProductList-Body"/>
      </w:pPr>
      <w:r>
        <w:t>“</w:t>
      </w:r>
      <w:r w:rsidR="00012F9F">
        <w:rPr>
          <w:b/>
          <w:bCs/>
          <w:color w:val="00188F"/>
        </w:rPr>
        <w:t>Minutos de Implementação</w:t>
      </w:r>
      <w:r>
        <w:t>”</w:t>
      </w:r>
      <w:r w:rsidR="00012F9F">
        <w:t xml:space="preserve"> designa o número total de minutos durante os quais um determinado Arquivo de Configuração foi implementado no</w:t>
      </w:r>
      <w:r w:rsidR="00024FE1">
        <w:t> </w:t>
      </w:r>
      <w:r w:rsidR="00012F9F">
        <w:t>Microsoft Azure durante um Período Aplicável.</w:t>
      </w:r>
    </w:p>
    <w:p w14:paraId="35FC0267" w14:textId="4460488F" w:rsidR="00012F9F" w:rsidRDefault="00380305" w:rsidP="00F01ED6">
      <w:pPr>
        <w:pStyle w:val="ProductList-Body"/>
      </w:pPr>
      <w:r>
        <w:t>“</w:t>
      </w:r>
      <w:r w:rsidR="00012F9F">
        <w:rPr>
          <w:b/>
          <w:bCs/>
          <w:color w:val="00188F"/>
        </w:rPr>
        <w:t>Máximo de Minutos Disponíveis</w:t>
      </w:r>
      <w:r>
        <w:t>”</w:t>
      </w:r>
      <w:r w:rsidR="00012F9F">
        <w:t xml:space="preserve"> designa a soma de todos os Minutos de Implementação em todos os Arquivos de Configuração implementados pelo Cliente numa determinada subscrição do Microsoft Azure durante um Período Aplicável.</w:t>
      </w:r>
    </w:p>
    <w:p w14:paraId="140C7DDA" w14:textId="1A807F5C" w:rsidR="00012F9F" w:rsidRDefault="00380305" w:rsidP="00F01ED6">
      <w:pPr>
        <w:pStyle w:val="ProductList-Body"/>
      </w:pPr>
      <w:r>
        <w:t>“</w:t>
      </w:r>
      <w:r w:rsidR="00012F9F">
        <w:rPr>
          <w:b/>
          <w:bCs/>
          <w:color w:val="00188F"/>
        </w:rPr>
        <w:t>Período de Indisponibilidade</w:t>
      </w:r>
      <w:r>
        <w:t>”</w:t>
      </w:r>
      <w:r w:rsidR="00012F9F">
        <w:t xml:space="preserve"> é o total de minutos acumulado durante o Máximo de Minutos Disponíveis durante os quais o Arquivo de Configuração está indisponível. Um minuto é considerado indisponível para um determinado Arquivo de Configuração quando não existe qualquer conectividade ao longo desse minuto entre o Arquivo de Configuração e o gateway de Internet da Microsoft.</w:t>
      </w:r>
    </w:p>
    <w:p w14:paraId="714230EB" w14:textId="57ACB66D" w:rsidR="00012F9F" w:rsidRDefault="00012F9F" w:rsidP="00044317">
      <w:pPr>
        <w:pStyle w:val="ProductList-Body"/>
        <w:keepNext/>
      </w:pPr>
      <w:r>
        <w:t xml:space="preserve">A </w:t>
      </w:r>
      <w:r w:rsidR="00380305">
        <w:t>“</w:t>
      </w:r>
      <w:r>
        <w:rPr>
          <w:b/>
          <w:bCs/>
          <w:color w:val="00188F"/>
        </w:rPr>
        <w:t>Percentagem de Período de Disponibilidade</w:t>
      </w:r>
      <w:r w:rsidR="00380305">
        <w:t>”</w:t>
      </w:r>
      <w:r>
        <w:t xml:space="preserve"> para o Azure App Configuration é calculada como o Máximo de Minutos Disponíveis menos o</w:t>
      </w:r>
      <w:r w:rsidR="00173870">
        <w:t> </w:t>
      </w:r>
      <w:r>
        <w:t>Período de Indisponibilidade a dividir pelo Máximo de Minutos Disponíveis num Período Aplicável para uma determinada subscrição do Microsoft Azure. A Percentagem de Período de Disponibilidade é representada pela seguinte fórmula:</w:t>
      </w:r>
    </w:p>
    <w:p w14:paraId="24B481D5" w14:textId="77777777" w:rsidR="003940E8" w:rsidRPr="000C03EC" w:rsidRDefault="003940E8" w:rsidP="00F01ED6">
      <w:pPr>
        <w:pStyle w:val="ProductList-Body"/>
        <w:rPr>
          <w:sz w:val="16"/>
        </w:rPr>
      </w:pPr>
    </w:p>
    <w:p w14:paraId="3BE596FB" w14:textId="40777DE2" w:rsidR="003940E8"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572CCD5" w14:textId="45C11EDE" w:rsidR="00012F9F" w:rsidRPr="003940E8" w:rsidRDefault="00012F9F" w:rsidP="00F01ED6">
      <w:pPr>
        <w:pStyle w:val="ProductList-Body"/>
        <w:keepNext/>
        <w:rPr>
          <w:b/>
          <w:bCs/>
          <w:color w:val="00188F"/>
        </w:rPr>
      </w:pPr>
      <w:r>
        <w:rPr>
          <w:b/>
          <w:bCs/>
          <w:color w:val="00188F"/>
        </w:rPr>
        <w:t>Os seguintes Níveis de Serviço e Créditos de Serviço são aplicáveis à utilização que o Cliente faz do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220BADA7" w14:textId="77777777" w:rsidR="003940E8" w:rsidRPr="00EF7CF9" w:rsidRDefault="003940E8" w:rsidP="00F01ED6">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F01ED6">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F01ED6">
            <w:pPr>
              <w:pStyle w:val="ProductList-OfferingBody"/>
              <w:jc w:val="center"/>
            </w:pPr>
            <w:r>
              <w:t>25%</w:t>
            </w:r>
          </w:p>
        </w:tc>
      </w:tr>
    </w:tbl>
    <w:p w14:paraId="41EBC5BC"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19F94C5" w14:textId="77777777" w:rsidR="009A7BA1" w:rsidRDefault="009A7BA1">
      <w:pPr>
        <w:rPr>
          <w:rFonts w:asciiTheme="majorHAnsi" w:hAnsiTheme="majorHAnsi"/>
          <w:b/>
          <w:color w:val="0072C6"/>
          <w:sz w:val="28"/>
        </w:rPr>
      </w:pPr>
      <w:r>
        <w:br w:type="page"/>
      </w:r>
    </w:p>
    <w:p w14:paraId="6F775864" w14:textId="25BBD322" w:rsidR="004005AF" w:rsidRPr="00EF7CF9" w:rsidRDefault="004005AF" w:rsidP="00F01ED6">
      <w:pPr>
        <w:pStyle w:val="ProductList-Offering2Heading"/>
        <w:tabs>
          <w:tab w:val="clear" w:pos="360"/>
          <w:tab w:val="clear" w:pos="720"/>
          <w:tab w:val="clear" w:pos="1080"/>
        </w:tabs>
        <w:outlineLvl w:val="2"/>
      </w:pPr>
      <w:bookmarkStart w:id="129" w:name="_Toc182409619"/>
      <w:r>
        <w:t>App Service</w:t>
      </w:r>
      <w:bookmarkEnd w:id="125"/>
      <w:bookmarkEnd w:id="126"/>
      <w:bookmarkEnd w:id="129"/>
    </w:p>
    <w:p w14:paraId="5086F069" w14:textId="77777777" w:rsidR="004005AF" w:rsidRPr="00EF7CF9" w:rsidRDefault="004005AF" w:rsidP="00F01ED6">
      <w:pPr>
        <w:pStyle w:val="ProductList-Body"/>
      </w:pPr>
      <w:r>
        <w:rPr>
          <w:b/>
          <w:color w:val="00188F"/>
        </w:rPr>
        <w:t>Definições Adicionais</w:t>
      </w:r>
      <w:r w:rsidRPr="00473DD3">
        <w:rPr>
          <w:b/>
          <w:color w:val="00188F"/>
        </w:rPr>
        <w:t>:</w:t>
      </w:r>
    </w:p>
    <w:p w14:paraId="26FEE8E0" w14:textId="77777777" w:rsidR="00E563FF" w:rsidRPr="009D002E" w:rsidRDefault="00E563FF" w:rsidP="00E563FF">
      <w:pPr>
        <w:pStyle w:val="ProductList-Body"/>
        <w:keepNext/>
        <w:rPr>
          <w:rFonts w:ascii="Calibri" w:hAnsi="Calibri" w:cs="Calibri"/>
        </w:rPr>
      </w:pPr>
      <w:bookmarkStart w:id="130" w:name="_Toc457821537"/>
      <w:bookmarkStart w:id="131" w:name="_Toc52348920"/>
      <w:r w:rsidRPr="009D002E">
        <w:rPr>
          <w:rFonts w:ascii="Calibri" w:hAnsi="Calibri" w:cs="Calibri"/>
        </w:rPr>
        <w:t>“</w:t>
      </w:r>
      <w:r w:rsidRPr="009D002E">
        <w:rPr>
          <w:rFonts w:ascii="Calibri" w:hAnsi="Calibri" w:cs="Calibri"/>
          <w:b/>
          <w:bCs/>
          <w:color w:val="00188F"/>
        </w:rPr>
        <w:t>Zona de Disponibilidade</w:t>
      </w:r>
      <w:r w:rsidRPr="009D002E">
        <w:rPr>
          <w:rFonts w:ascii="Calibri" w:hAnsi="Calibri" w:cs="Calibri"/>
        </w:rPr>
        <w:t>” designa uma área isolada de falhas numa região do Azure que providencia alimentação, refrigeração e rede redundantes.</w:t>
      </w:r>
    </w:p>
    <w:p w14:paraId="1C38A8E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Minutos de Implementação</w:t>
      </w:r>
      <w:r w:rsidRPr="009D002E">
        <w:rPr>
          <w:rFonts w:ascii="Calibri" w:hAnsi="Calibri" w:cs="Calibri"/>
        </w:rPr>
        <w:t xml:space="preserve">” </w:t>
      </w:r>
      <w:r w:rsidRPr="009D002E">
        <w:rPr>
          <w:rFonts w:ascii="Calibri" w:eastAsia="Tahoma" w:hAnsi="Calibri" w:cs="Calibri"/>
        </w:rPr>
        <w:t xml:space="preserve">designa o </w:t>
      </w:r>
      <w:r w:rsidRPr="009D002E">
        <w:rPr>
          <w:rFonts w:ascii="Calibri" w:hAnsi="Calibri" w:cs="Calibri"/>
        </w:rPr>
        <w:t>número total de minutos durante os quais uma determinada Aplicação foi definida para ser executada no Microsoft Azure durante um Período Aplicável.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44B3688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Máximo de Minutos Disponíveis</w:t>
      </w:r>
      <w:r w:rsidRPr="009D002E">
        <w:rPr>
          <w:rFonts w:ascii="Calibri" w:hAnsi="Calibri" w:cs="Calibri"/>
        </w:rPr>
        <w:t>” designa a soma de todos os Minutos de Implementação em todas as Aplicações implementadas pelo Cliente numa determinada subscrição do Microsoft Azure durante um Período Aplicável</w:t>
      </w:r>
    </w:p>
    <w:p w14:paraId="31BCC926"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Aplicação</w:t>
      </w:r>
      <w:r w:rsidRPr="009D002E">
        <w:rPr>
          <w:rFonts w:ascii="Calibri" w:hAnsi="Calibri" w:cs="Calibri"/>
        </w:rPr>
        <w:t>” designa uma Aplicação Web, Aplicação Móvel, Aplicação API ou Aplicação Lógica implementada pelo Cliente no Serviço de Aplicações. O SLA é suportado quando é executado numa única instância e em múltiplas instâncias.</w:t>
      </w:r>
    </w:p>
    <w:p w14:paraId="327D77B2" w14:textId="77777777" w:rsidR="00E563FF" w:rsidRPr="009D002E" w:rsidRDefault="00E563FF" w:rsidP="00E563FF">
      <w:pPr>
        <w:pStyle w:val="ProductList-Body"/>
        <w:rPr>
          <w:rFonts w:ascii="Calibri" w:hAnsi="Calibri" w:cs="Calibri"/>
          <w:b/>
          <w:color w:val="00188F"/>
        </w:rPr>
      </w:pPr>
      <w:r w:rsidRPr="009D002E">
        <w:rPr>
          <w:rFonts w:ascii="Calibri" w:hAnsi="Calibri" w:cs="Calibri"/>
          <w:b/>
          <w:color w:val="00188F"/>
        </w:rPr>
        <w:t>Cálculo do Período de Disponibilidade e Níveis de Serviço para as Aplicações do Serviço de Aplicações nas Zonas de Disponibilidade</w:t>
      </w:r>
    </w:p>
    <w:p w14:paraId="1265A6AF"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Máximo de Minutos Disponíveis</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um Período Aplicável.</w:t>
      </w:r>
    </w:p>
    <w:p w14:paraId="60B831D5"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Período de Indisponibilidade</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os quais a Aplicação está indisponível. Um minuto é considerado indisponível para uma determinada Aplicação ativada para a Zona de Disponibilidade quando não existe nenhuma conectividade entre a Aplicação e o gateway de Internet da Microsoft.</w:t>
      </w:r>
    </w:p>
    <w:p w14:paraId="155CA34E" w14:textId="77777777" w:rsidR="00E563FF" w:rsidRPr="009D002E" w:rsidRDefault="00E563FF" w:rsidP="00E563FF">
      <w:pPr>
        <w:pStyle w:val="ProductList-Body"/>
        <w:rPr>
          <w:rFonts w:ascii="Calibri" w:hAnsi="Calibri" w:cs="Calibri"/>
        </w:rPr>
      </w:pPr>
      <w:r w:rsidRPr="009D002E">
        <w:rPr>
          <w:rFonts w:ascii="Calibri" w:hAnsi="Calibri" w:cs="Calibri"/>
        </w:rPr>
        <w:t>A “</w:t>
      </w:r>
      <w:r w:rsidRPr="009D002E">
        <w:rPr>
          <w:rFonts w:ascii="Calibri" w:hAnsi="Calibri" w:cs="Calibri"/>
          <w:b/>
          <w:color w:val="0072C6"/>
        </w:rPr>
        <w:t>Percentagem de Período de Disponibilidade</w:t>
      </w:r>
      <w:r w:rsidRPr="009D002E">
        <w:rPr>
          <w:rFonts w:ascii="Calibri" w:hAnsi="Calibri" w:cs="Calibri"/>
        </w:rPr>
        <w:t>” é calculada através da seguinte fórmula:</w:t>
      </w:r>
    </w:p>
    <w:p w14:paraId="1DF1A288" w14:textId="77777777" w:rsidR="00E563FF" w:rsidRDefault="00E563FF" w:rsidP="00E563FF">
      <w:pPr>
        <w:pStyle w:val="ProductList-Body"/>
        <w:ind w:left="360"/>
      </w:pPr>
    </w:p>
    <w:p w14:paraId="59F501EA" w14:textId="77777777" w:rsidR="00E563FF" w:rsidRDefault="00000000" w:rsidP="00E563FF">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275744ED" w14:textId="77777777" w:rsidR="00E563FF" w:rsidRPr="00EC3D00" w:rsidRDefault="00E563FF" w:rsidP="00E563FF">
      <w:pPr>
        <w:pStyle w:val="ProductList-Body"/>
        <w:rPr>
          <w:rFonts w:ascii="Calibri" w:hAnsi="Calibri" w:cs="Calibri"/>
        </w:rPr>
      </w:pPr>
      <w:r>
        <w:rPr>
          <w:rFonts w:ascii="Calibri" w:hAnsi="Calibri" w:cs="Calibri"/>
          <w:b/>
          <w:color w:val="0072C6"/>
        </w:rPr>
        <w:t>Crédito de Serviço</w:t>
      </w:r>
      <w:r w:rsidRPr="00110E2F">
        <w:rPr>
          <w:rFonts w:ascii="Calibri" w:hAnsi="Calibri" w:cs="Calibri"/>
          <w:b/>
          <w:color w:val="0072C6"/>
        </w:rPr>
        <w:t>:</w:t>
      </w:r>
    </w:p>
    <w:p w14:paraId="59FC068C"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implementadas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14:paraId="199D7678"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40985"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3DF2EF"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14:paraId="4161B13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6A38C"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D1669"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w:t>
            </w:r>
          </w:p>
        </w:tc>
      </w:tr>
      <w:tr w:rsidR="00E563FF" w14:paraId="15EE987F"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809DB"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EFAF7"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25%</w:t>
            </w:r>
          </w:p>
        </w:tc>
      </w:tr>
      <w:tr w:rsidR="00E563FF" w14:paraId="52863B13"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CED8A"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1CA2E"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100%</w:t>
            </w:r>
          </w:p>
        </w:tc>
      </w:tr>
    </w:tbl>
    <w:p w14:paraId="02952531" w14:textId="77777777" w:rsidR="00E563FF" w:rsidRDefault="00E563FF" w:rsidP="00E563FF">
      <w:pPr>
        <w:pStyle w:val="ProductList-Body"/>
        <w:ind w:left="360"/>
      </w:pPr>
    </w:p>
    <w:p w14:paraId="2EC081BF" w14:textId="77777777" w:rsidR="00E563FF" w:rsidRPr="008D4657" w:rsidRDefault="00E563FF" w:rsidP="00E563FF">
      <w:pPr>
        <w:pStyle w:val="ProductList-Body"/>
        <w:rPr>
          <w:rFonts w:ascii="Calibri" w:hAnsi="Calibri" w:cs="Calibri"/>
          <w:b/>
          <w:color w:val="00188F"/>
        </w:rPr>
      </w:pPr>
      <w:r w:rsidRPr="008D4657">
        <w:rPr>
          <w:rFonts w:ascii="Calibri" w:hAnsi="Calibri" w:cs="Calibri"/>
          <w:b/>
          <w:color w:val="00188F"/>
        </w:rPr>
        <w:t>Cálculo de Período de Disponibilidade e dos Níveis de Serviço para as Aplicações do Serviço de Aplicações que não utilizam Zonas de Disponibilidade</w:t>
      </w:r>
    </w:p>
    <w:p w14:paraId="2A3E5807"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Máximo de Minutos Disponíveis</w:t>
      </w:r>
      <w:r w:rsidRPr="008D4657">
        <w:rPr>
          <w:rFonts w:ascii="Calibri" w:hAnsi="Calibri" w:cs="Calibri"/>
        </w:rPr>
        <w:t>” designa o total acumulado de Minutos de Implementação em todas as Aplicações implementadas pelo Cliente numa determinada subscrição do Microsoft Azure durante um Período Aplicável.</w:t>
      </w:r>
    </w:p>
    <w:p w14:paraId="34C3D4A4"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Período de Indisponibilidade</w:t>
      </w:r>
      <w:r w:rsidRPr="008D4657">
        <w:rPr>
          <w:rFonts w:ascii="Calibri" w:hAnsi="Calibri" w:cs="Calibri"/>
        </w:rPr>
        <w:t>” designa o total acumulado de Minutos de Implementação,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57C17816" w14:textId="77777777" w:rsidR="00E563FF" w:rsidRPr="008D4657" w:rsidRDefault="00E563FF" w:rsidP="00E563FF">
      <w:pPr>
        <w:pStyle w:val="ProductList-Body"/>
        <w:rPr>
          <w:rFonts w:ascii="Calibri" w:hAnsi="Calibri" w:cs="Calibri"/>
        </w:rPr>
      </w:pPr>
      <w:r w:rsidRPr="008D4657">
        <w:rPr>
          <w:rFonts w:ascii="Calibri" w:hAnsi="Calibri" w:cs="Calibri"/>
        </w:rPr>
        <w:t>A “</w:t>
      </w:r>
      <w:r w:rsidRPr="008D4657">
        <w:rPr>
          <w:rFonts w:ascii="Calibri" w:hAnsi="Calibri" w:cs="Calibri"/>
          <w:b/>
          <w:color w:val="0072C6"/>
        </w:rPr>
        <w:t>Percentagem de Período de Disponibilidade</w:t>
      </w:r>
      <w:r w:rsidRPr="008D4657">
        <w:rPr>
          <w:rFonts w:ascii="Calibri" w:hAnsi="Calibri" w:cs="Calibri"/>
        </w:rPr>
        <w:t>” é calculada através da seguinte fórmula:</w:t>
      </w:r>
    </w:p>
    <w:p w14:paraId="3428BC09" w14:textId="77777777" w:rsidR="00E563FF" w:rsidRPr="009A5BC1" w:rsidRDefault="00E563FF" w:rsidP="00E563FF">
      <w:pPr>
        <w:pStyle w:val="ProductList-Body"/>
        <w:rPr>
          <w:sz w:val="12"/>
          <w:szCs w:val="12"/>
        </w:rPr>
      </w:pPr>
    </w:p>
    <w:p w14:paraId="19C26928" w14:textId="77777777" w:rsidR="00E563FF" w:rsidRPr="00EF7CF9" w:rsidRDefault="00000000" w:rsidP="001E0C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538AD3" w14:textId="77777777" w:rsidR="001E0CE1" w:rsidRDefault="001E0CE1" w:rsidP="00E563FF">
      <w:pPr>
        <w:pStyle w:val="ProductList-Body"/>
        <w:keepNext/>
        <w:rPr>
          <w:rFonts w:ascii="Calibri" w:hAnsi="Calibri" w:cs="Calibri"/>
          <w:b/>
          <w:color w:val="00188F"/>
        </w:rPr>
      </w:pPr>
    </w:p>
    <w:p w14:paraId="5248ECBC" w14:textId="29E1CBC8" w:rsidR="00E563FF" w:rsidRPr="00EC3D00" w:rsidRDefault="00E563FF" w:rsidP="00E563FF">
      <w:pPr>
        <w:pStyle w:val="ProductList-Body"/>
        <w:keepNext/>
        <w:rPr>
          <w:rFonts w:ascii="Calibri" w:hAnsi="Calibri" w:cs="Calibri"/>
        </w:rPr>
      </w:pPr>
      <w:r>
        <w:rPr>
          <w:rFonts w:ascii="Calibri" w:hAnsi="Calibri" w:cs="Calibri"/>
          <w:b/>
          <w:color w:val="00188F"/>
        </w:rPr>
        <w:t>Crédito de Serviço</w:t>
      </w:r>
      <w:r w:rsidRPr="00FA7D6E">
        <w:rPr>
          <w:rFonts w:ascii="Calibri" w:hAnsi="Calibri" w:cs="Calibri"/>
          <w:b/>
          <w:color w:val="00188F"/>
        </w:rPr>
        <w:t>:</w:t>
      </w:r>
    </w:p>
    <w:p w14:paraId="52AED3E5"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que não utilizam Zonas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rsidRPr="00B44CF9" w14:paraId="2FC19E57" w14:textId="77777777" w:rsidTr="00E50F69">
        <w:trPr>
          <w:tblHeader/>
        </w:trPr>
        <w:tc>
          <w:tcPr>
            <w:tcW w:w="5400" w:type="dxa"/>
            <w:shd w:val="clear" w:color="auto" w:fill="0072C6"/>
          </w:tcPr>
          <w:p w14:paraId="1803CBBD"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64ABD971"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rsidRPr="00B44CF9" w14:paraId="6F055244" w14:textId="77777777" w:rsidTr="00E50F69">
        <w:tc>
          <w:tcPr>
            <w:tcW w:w="5400" w:type="dxa"/>
          </w:tcPr>
          <w:p w14:paraId="31E444BA" w14:textId="77777777" w:rsidR="00E563FF" w:rsidRPr="00EC3D00" w:rsidRDefault="00E563FF" w:rsidP="00E50F69">
            <w:pPr>
              <w:pStyle w:val="ProductList-OfferingBody"/>
              <w:jc w:val="center"/>
              <w:rPr>
                <w:rFonts w:ascii="Calibri" w:hAnsi="Calibri" w:cs="Calibri"/>
              </w:rPr>
            </w:pPr>
            <w:r>
              <w:rPr>
                <w:rFonts w:ascii="Calibri" w:hAnsi="Calibri" w:cs="Calibri"/>
              </w:rPr>
              <w:t>&lt; 99,95%</w:t>
            </w:r>
          </w:p>
        </w:tc>
        <w:tc>
          <w:tcPr>
            <w:tcW w:w="5400" w:type="dxa"/>
          </w:tcPr>
          <w:p w14:paraId="1D2D543C" w14:textId="77777777" w:rsidR="00E563FF" w:rsidRPr="00EC3D00" w:rsidRDefault="00E563FF" w:rsidP="00E50F69">
            <w:pPr>
              <w:pStyle w:val="ProductList-OfferingBody"/>
              <w:jc w:val="center"/>
              <w:rPr>
                <w:rFonts w:ascii="Calibri" w:hAnsi="Calibri" w:cs="Calibri"/>
              </w:rPr>
            </w:pPr>
            <w:r>
              <w:rPr>
                <w:rFonts w:ascii="Calibri" w:hAnsi="Calibri" w:cs="Calibri"/>
              </w:rPr>
              <w:t>10%</w:t>
            </w:r>
          </w:p>
        </w:tc>
      </w:tr>
      <w:tr w:rsidR="00E563FF" w:rsidRPr="00B44CF9" w14:paraId="3FF8144F" w14:textId="77777777" w:rsidTr="00E50F69">
        <w:tc>
          <w:tcPr>
            <w:tcW w:w="5400" w:type="dxa"/>
          </w:tcPr>
          <w:p w14:paraId="3A31FE0E" w14:textId="77777777" w:rsidR="00E563FF" w:rsidRPr="00EC3D00" w:rsidRDefault="00E563FF" w:rsidP="00E50F69">
            <w:pPr>
              <w:pStyle w:val="ProductList-OfferingBody"/>
              <w:jc w:val="center"/>
              <w:rPr>
                <w:rFonts w:ascii="Calibri" w:hAnsi="Calibri" w:cs="Calibri"/>
              </w:rPr>
            </w:pPr>
            <w:r>
              <w:rPr>
                <w:rFonts w:ascii="Calibri" w:hAnsi="Calibri" w:cs="Calibri"/>
              </w:rPr>
              <w:t>&lt; 99%</w:t>
            </w:r>
          </w:p>
        </w:tc>
        <w:tc>
          <w:tcPr>
            <w:tcW w:w="5400" w:type="dxa"/>
          </w:tcPr>
          <w:p w14:paraId="2AEC2299" w14:textId="77777777" w:rsidR="00E563FF" w:rsidRPr="00EC3D00" w:rsidRDefault="00E563FF" w:rsidP="00E50F69">
            <w:pPr>
              <w:pStyle w:val="ProductList-OfferingBody"/>
              <w:jc w:val="center"/>
              <w:rPr>
                <w:rFonts w:ascii="Calibri" w:hAnsi="Calibri" w:cs="Calibri"/>
              </w:rPr>
            </w:pPr>
            <w:r>
              <w:rPr>
                <w:rFonts w:ascii="Calibri" w:hAnsi="Calibri" w:cs="Calibri"/>
              </w:rPr>
              <w:t>25%</w:t>
            </w:r>
          </w:p>
        </w:tc>
      </w:tr>
      <w:tr w:rsidR="00E563FF" w:rsidRPr="00B44CF9" w14:paraId="4AFB6F3A" w14:textId="77777777" w:rsidTr="00E50F69">
        <w:tc>
          <w:tcPr>
            <w:tcW w:w="5400" w:type="dxa"/>
          </w:tcPr>
          <w:p w14:paraId="2B2FF48A" w14:textId="77777777" w:rsidR="00E563FF" w:rsidRPr="00EC3D00" w:rsidRDefault="00E563FF" w:rsidP="00E50F69">
            <w:pPr>
              <w:pStyle w:val="ProductList-OfferingBody"/>
              <w:jc w:val="center"/>
              <w:rPr>
                <w:rFonts w:ascii="Calibri" w:hAnsi="Calibri" w:cs="Calibri"/>
              </w:rPr>
            </w:pPr>
            <w:r>
              <w:rPr>
                <w:rFonts w:ascii="Calibri" w:hAnsi="Calibri" w:cs="Calibri"/>
              </w:rPr>
              <w:t>&lt; 95%</w:t>
            </w:r>
          </w:p>
        </w:tc>
        <w:tc>
          <w:tcPr>
            <w:tcW w:w="5400" w:type="dxa"/>
          </w:tcPr>
          <w:p w14:paraId="69C523CD" w14:textId="77777777" w:rsidR="00E563FF" w:rsidRPr="00EC3D00" w:rsidRDefault="00E563FF" w:rsidP="00E50F69">
            <w:pPr>
              <w:pStyle w:val="ProductList-OfferingBody"/>
              <w:jc w:val="center"/>
              <w:rPr>
                <w:rFonts w:ascii="Calibri" w:hAnsi="Calibri" w:cs="Calibri"/>
              </w:rPr>
            </w:pPr>
            <w:r>
              <w:rPr>
                <w:rFonts w:ascii="Calibri" w:hAnsi="Calibri" w:cs="Calibri"/>
              </w:rPr>
              <w:t>100%</w:t>
            </w:r>
          </w:p>
        </w:tc>
      </w:tr>
    </w:tbl>
    <w:p w14:paraId="2AE6D24C" w14:textId="77777777" w:rsidR="00E563FF" w:rsidRDefault="00E563FF" w:rsidP="00E563FF">
      <w:pPr>
        <w:pStyle w:val="ProductList-Body"/>
        <w:spacing w:before="120"/>
        <w:rPr>
          <w:rFonts w:ascii="Calibri" w:hAnsi="Calibri" w:cs="Calibri"/>
        </w:rPr>
      </w:pPr>
      <w:r>
        <w:rPr>
          <w:rFonts w:ascii="Calibri" w:hAnsi="Calibri" w:cs="Calibri"/>
          <w:b/>
          <w:bCs/>
          <w:color w:val="00188F"/>
        </w:rPr>
        <w:t>Termos Adicionais</w:t>
      </w:r>
      <w:r w:rsidRPr="00140BB8">
        <w:rPr>
          <w:rFonts w:ascii="Calibri" w:hAnsi="Calibri" w:cs="Calibri"/>
          <w:b/>
          <w:bCs/>
          <w:color w:val="00188F"/>
        </w:rPr>
        <w:t>:</w:t>
      </w:r>
      <w:r>
        <w:rPr>
          <w:rFonts w:ascii="Calibri" w:hAnsi="Calibri" w:cs="Calibri"/>
          <w:b/>
          <w:bCs/>
          <w:color w:val="00188F"/>
        </w:rPr>
        <w:t xml:space="preserve"> </w:t>
      </w:r>
      <w:r>
        <w:rPr>
          <w:rFonts w:ascii="Calibri" w:hAnsi="Calibri" w:cs="Calibri"/>
        </w:rPr>
        <w:t>Os Créditos de Serviço só são aplicáveis a taxas passíveis de serem atribuídas à utilização que o Cliente faz das Aplicações Web, Aplicações Móveis, Aplicações API ou Aplicações Lógicas e não a taxas passíveis de serem atribuídas a outros tipos de aplicações disponíveis através do Serviço de Aplicações, que não são cobertas por este SLA.</w:t>
      </w:r>
    </w:p>
    <w:p w14:paraId="3FD80881" w14:textId="1046DD3E" w:rsidR="00A93A5F" w:rsidRPr="00A93A5F" w:rsidRDefault="00A93A5F" w:rsidP="00E563FF">
      <w:pPr>
        <w:pStyle w:val="ProductList-Body"/>
        <w:spacing w:before="120"/>
        <w:rPr>
          <w:rFonts w:ascii="Calibri" w:hAnsi="Calibri" w:cs="Calibri"/>
          <w:szCs w:val="18"/>
        </w:rPr>
      </w:pPr>
      <w:r w:rsidRPr="00212951">
        <w:rPr>
          <w:rFonts w:ascii="Calibri" w:hAnsi="Calibri" w:cs="Calibri"/>
          <w:szCs w:val="18"/>
        </w:rPr>
        <w:t>A partir de 1 de setembro de 2024, o Ambiente do Serviço de Aplicações versão 1 e versão 2 são funcionalidades do Serviço retiradas e as respetivas Janelas de Suporte expiraram. O App Service já não oferece quaisquer garantias de Nível de Serviço e, por extensão, Créditos de Serviço, para problemas de desempenho ou disponibilidade relacionados com cargas de trabalho em execução no Ambiente do Serviço de Aplicações versão 1 e versão 2.</w:t>
      </w:r>
    </w:p>
    <w:p w14:paraId="72C8A5C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1F9D7C6" w14:textId="77777777" w:rsidR="004005AF" w:rsidRPr="00EF7CF9" w:rsidRDefault="004005AF" w:rsidP="00F01ED6">
      <w:pPr>
        <w:pStyle w:val="ProductList-Offering2Heading"/>
        <w:tabs>
          <w:tab w:val="clear" w:pos="360"/>
          <w:tab w:val="clear" w:pos="720"/>
          <w:tab w:val="clear" w:pos="1080"/>
        </w:tabs>
        <w:outlineLvl w:val="2"/>
      </w:pPr>
      <w:bookmarkStart w:id="132" w:name="_Toc182409620"/>
      <w:r>
        <w:t>Gateway de Aplicação</w:t>
      </w:r>
      <w:bookmarkEnd w:id="130"/>
      <w:bookmarkEnd w:id="131"/>
      <w:bookmarkEnd w:id="132"/>
    </w:p>
    <w:p w14:paraId="38D78F29" w14:textId="77777777" w:rsidR="004005AF" w:rsidRPr="00EF7CF9" w:rsidRDefault="004005AF" w:rsidP="00F01ED6">
      <w:pPr>
        <w:pStyle w:val="ProductList-Body"/>
      </w:pPr>
      <w:r>
        <w:rPr>
          <w:b/>
          <w:color w:val="00188F"/>
        </w:rPr>
        <w:t>Definições Adicionais</w:t>
      </w:r>
      <w:r w:rsidRPr="00473DD3">
        <w:rPr>
          <w:b/>
          <w:color w:val="00188F"/>
        </w:rPr>
        <w:t>:</w:t>
      </w:r>
    </w:p>
    <w:p w14:paraId="409BF5A1" w14:textId="044F984E" w:rsidR="004005AF" w:rsidRPr="00EF7CF9" w:rsidRDefault="00380305" w:rsidP="00F01ED6">
      <w:pPr>
        <w:pStyle w:val="ProductList-Body"/>
        <w:spacing w:after="40"/>
      </w:pPr>
      <w:r>
        <w:t>“</w:t>
      </w:r>
      <w:r w:rsidR="004005AF">
        <w:rPr>
          <w:b/>
          <w:color w:val="00188F"/>
        </w:rPr>
        <w:t>Serviço em Nuvem de Gateway de Aplicação</w:t>
      </w:r>
      <w:r>
        <w:t>”</w:t>
      </w:r>
      <w:r w:rsidR="004005AF">
        <w:t xml:space="preserve"> designa uma coleção de duas ou mais instâncias ou implementações de média ou grande dimensão</w:t>
      </w:r>
      <w:r w:rsidR="00007391">
        <w:t> </w:t>
      </w:r>
      <w:r w:rsidR="004005AF">
        <w:t>do Gateway de Aplicação capazes de suportar escala automática ou redundância por zona, configuradas para executarem serviços de</w:t>
      </w:r>
      <w:r w:rsidR="00007391">
        <w:t> </w:t>
      </w:r>
      <w:r w:rsidR="004005AF">
        <w:t>balanceamento de carga HTTP.</w:t>
      </w:r>
    </w:p>
    <w:p w14:paraId="3A2B043F" w14:textId="0B6CEDB6"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o total de minutos acumulados durante um Período Aplicável durante o qual um determinado Serviço em Nuvem de Gateway de Aplicação tenha sido implementado numa subscrição do Microsoft Azure.</w:t>
      </w:r>
    </w:p>
    <w:p w14:paraId="27881ED1" w14:textId="39A2BE80" w:rsidR="004005AF" w:rsidRPr="00EF7CF9" w:rsidRDefault="004005AF" w:rsidP="00F01ED6">
      <w:pPr>
        <w:pStyle w:val="ProductList-Body"/>
      </w:pPr>
      <w:r>
        <w:rPr>
          <w:b/>
          <w:color w:val="00188F"/>
        </w:rPr>
        <w:t>Período de Indisponibilidade</w:t>
      </w:r>
      <w:r w:rsidRPr="00473DD3">
        <w:rPr>
          <w:b/>
          <w:color w:val="00188F"/>
        </w:rPr>
        <w:t>:</w:t>
      </w:r>
      <w:r>
        <w:t xml:space="preserve"> designa o total acumulado de Máximo de Minutos Disponíveis durante um Período Aplicável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71CE672F" w14:textId="5E7BA27A" w:rsidR="004005AF" w:rsidRDefault="00AC48A7" w:rsidP="00044317">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BD3EAA" w14:textId="77777777" w:rsidR="00173870" w:rsidRPr="00EF7CF9" w:rsidRDefault="00173870" w:rsidP="00F01ED6">
      <w:pPr>
        <w:pStyle w:val="ProductList-Body"/>
      </w:pPr>
    </w:p>
    <w:p w14:paraId="7F8325E7" w14:textId="11E086FB" w:rsidR="004005AF" w:rsidRPr="00EF7CF9" w:rsidRDefault="00000000" w:rsidP="00E563F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551F90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69497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F01ED6">
            <w:pPr>
              <w:pStyle w:val="ProductList-OfferingBody"/>
              <w:jc w:val="center"/>
            </w:pPr>
            <w:r>
              <w:t>&lt; 99,95%</w:t>
            </w:r>
          </w:p>
        </w:tc>
        <w:tc>
          <w:tcPr>
            <w:tcW w:w="5400" w:type="dxa"/>
          </w:tcPr>
          <w:p w14:paraId="25A99F4E" w14:textId="77777777" w:rsidR="004005AF" w:rsidRPr="00EF7CF9" w:rsidRDefault="004005AF" w:rsidP="00F01ED6">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F01ED6">
            <w:pPr>
              <w:pStyle w:val="ProductList-OfferingBody"/>
              <w:jc w:val="center"/>
            </w:pPr>
            <w:r>
              <w:t>&lt; 99%</w:t>
            </w:r>
          </w:p>
        </w:tc>
        <w:tc>
          <w:tcPr>
            <w:tcW w:w="5400" w:type="dxa"/>
          </w:tcPr>
          <w:p w14:paraId="5322A0A3" w14:textId="77777777" w:rsidR="004005AF" w:rsidRPr="00EF7CF9" w:rsidRDefault="004005AF" w:rsidP="00F01ED6">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6857B07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45E737" w14:textId="340931FA" w:rsidR="00673D78" w:rsidRDefault="00673D78" w:rsidP="00673D78">
      <w:pPr>
        <w:pStyle w:val="ProductList-Offering2Heading"/>
        <w:tabs>
          <w:tab w:val="clear" w:pos="360"/>
          <w:tab w:val="clear" w:pos="720"/>
          <w:tab w:val="clear" w:pos="1080"/>
        </w:tabs>
        <w:outlineLvl w:val="2"/>
      </w:pPr>
      <w:bookmarkStart w:id="138" w:name="_Toc182409621"/>
      <w:r>
        <w:t>Gateway de Aplicação para Conte</w:t>
      </w:r>
      <w:r w:rsidR="00FB5759">
        <w:t>ntores</w:t>
      </w:r>
      <w:bookmarkEnd w:id="138"/>
    </w:p>
    <w:p w14:paraId="24CFA761" w14:textId="77777777" w:rsidR="00C60C0B" w:rsidRPr="00420E5B" w:rsidRDefault="00C60C0B" w:rsidP="00C60C0B">
      <w:pPr>
        <w:pStyle w:val="ProductList-Body"/>
        <w:rPr>
          <w:rFonts w:ascii="Calibri" w:hAnsi="Calibri" w:cs="Calibri"/>
        </w:rPr>
      </w:pPr>
      <w:r>
        <w:rPr>
          <w:rFonts w:ascii="Calibri" w:hAnsi="Calibri" w:cs="Calibri"/>
          <w:b/>
          <w:color w:val="00188F"/>
        </w:rPr>
        <w:t>Definições Adicionais</w:t>
      </w:r>
      <w:r w:rsidRPr="00924CFC">
        <w:rPr>
          <w:rFonts w:ascii="Calibri" w:hAnsi="Calibri" w:cs="Calibri"/>
          <w:b/>
          <w:bCs/>
        </w:rPr>
        <w:t>:</w:t>
      </w:r>
    </w:p>
    <w:p w14:paraId="4D54EE88"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Gateway de Aplicação para Contentores</w:t>
      </w:r>
      <w:r>
        <w:rPr>
          <w:rFonts w:ascii="Calibri" w:hAnsi="Calibri" w:cs="Calibri"/>
        </w:rPr>
        <w:t>” designa os conceitos de plano de controlo e plano de dados para prestar serviços de balanceamento de carga HTTP.</w:t>
      </w:r>
    </w:p>
    <w:p w14:paraId="4E4FBD62"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designa o componente instalado no cluster de Kubernetes do cliente que é responsável pela conversão e transmissão da configuração definida pelo utilizador no cluster de Kubernetes para o Gateway de Aplicação para Contentores.</w:t>
      </w:r>
    </w:p>
    <w:p w14:paraId="64213A9B"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o total de minutos acumulados num mês de faturação durante o qual um Serviço de Gateway de Aplicação para Contentores foi implementado numa subscrição do Azure.</w:t>
      </w:r>
    </w:p>
    <w:p w14:paraId="69D23CA0"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Controlo</w:t>
      </w:r>
      <w:r>
        <w:rPr>
          <w:rFonts w:ascii="Calibri" w:hAnsi="Calibri" w:cs="Calibri"/>
        </w:rPr>
        <w:t>” designa o total de minutos acumulados num mês de faturação para um determinado recurso do Gateway de Aplicação para Contentores durante o qual as alterações ao plano de controlo do Gateway de Aplicação para Contentores estão indisponíveis. Um determinado minuto é considerado indisponível se todas as ligações iniciadas pelo Controlador ALB do Gateway de Aplicação para Contentor ao longo do minuto falharem.</w:t>
      </w:r>
    </w:p>
    <w:p w14:paraId="416CAAAE"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Dados</w:t>
      </w:r>
      <w:r>
        <w:rPr>
          <w:rFonts w:ascii="Calibri" w:hAnsi="Calibri" w:cs="Calibri"/>
        </w:rPr>
        <w:t>” designa o total de minutos acumulados num mês de faturação para uma determinada implementação do Gateway de Aplicação para Contentores durante o qual o plano de dados do Gateway de Aplicação para Contentores está indisponível. Um determinado minuto é considerado indisponível se todas as tentativas de ligação a um front-end do Gateway de Aplicação para Contentores durante esse minuto falharem.</w:t>
      </w:r>
    </w:p>
    <w:p w14:paraId="00DCA5EA" w14:textId="77777777" w:rsidR="00C60C0B" w:rsidRPr="00420E5B" w:rsidRDefault="00C60C0B" w:rsidP="00C60C0B">
      <w:pPr>
        <w:pStyle w:val="ProductList-Body"/>
        <w:spacing w:after="40"/>
        <w:rPr>
          <w:rFonts w:ascii="Calibri" w:hAnsi="Calibri" w:cs="Calibri"/>
        </w:rPr>
      </w:pPr>
      <w:r>
        <w:rPr>
          <w:rFonts w:ascii="Calibri" w:hAnsi="Calibri" w:cs="Calibri"/>
          <w:b/>
          <w:color w:val="00188F"/>
        </w:rPr>
        <w:t>Percentagem de Período de Disponibilidade Mensal</w:t>
      </w:r>
      <w:r w:rsidRPr="00924CFC">
        <w:rPr>
          <w:rFonts w:ascii="Calibri" w:hAnsi="Calibri" w:cs="Calibri"/>
          <w:b/>
          <w:bCs/>
        </w:rPr>
        <w:t>:</w:t>
      </w:r>
      <w:r>
        <w:rPr>
          <w:rFonts w:ascii="Calibri" w:hAnsi="Calibri" w:cs="Calibri"/>
        </w:rPr>
        <w:t xml:space="preserve"> A Percentagem de Período de Disponibilidade Mensal é calculada através da seguinte fórmula:</w:t>
      </w:r>
    </w:p>
    <w:p w14:paraId="2BD5A72C" w14:textId="77777777" w:rsidR="00C60C0B" w:rsidRDefault="00C60C0B" w:rsidP="00C60C0B">
      <w:pPr>
        <w:pStyle w:val="ProductList-Body"/>
      </w:pPr>
    </w:p>
    <w:p w14:paraId="3E7B206C" w14:textId="77777777" w:rsidR="00C60C0B" w:rsidRPr="0088591D" w:rsidRDefault="00000000" w:rsidP="00C60C0B">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Disponíveis-Período de Indisponibilidade do Plano de Controlo-Período de Indisponibilidade do Plano de Dados</m:t>
              </m:r>
            </m:num>
            <m:den>
              <m:r>
                <m:rPr>
                  <m:nor/>
                </m:rPr>
                <w:rPr>
                  <w:rFonts w:ascii="Cambria Math" w:hAnsi="Cambria Math" w:cs="Tahoma"/>
                  <w:i/>
                  <w:szCs w:val="18"/>
                </w:rPr>
                <m:t>Máximo de Minutos Disponíveis</m:t>
              </m:r>
            </m:den>
          </m:f>
        </m:oMath>
      </m:oMathPara>
    </w:p>
    <w:p w14:paraId="0222BC53" w14:textId="77777777" w:rsidR="001E0CE1" w:rsidRDefault="001E0CE1" w:rsidP="00C60C0B">
      <w:pPr>
        <w:pStyle w:val="ProductList-Body"/>
        <w:rPr>
          <w:rFonts w:ascii="Calibri" w:hAnsi="Calibri" w:cs="Calibri"/>
          <w:b/>
          <w:color w:val="00188F"/>
        </w:rPr>
      </w:pPr>
    </w:p>
    <w:p w14:paraId="18200C68" w14:textId="5E01B251" w:rsidR="00C60C0B" w:rsidRPr="00420E5B" w:rsidRDefault="00C60C0B" w:rsidP="00C60C0B">
      <w:pPr>
        <w:pStyle w:val="ProductList-Body"/>
        <w:rPr>
          <w:rFonts w:ascii="Calibri" w:hAnsi="Calibri" w:cs="Calibri"/>
        </w:rPr>
      </w:pPr>
      <w:r>
        <w:rPr>
          <w:rFonts w:ascii="Calibri" w:hAnsi="Calibri" w:cs="Calibri"/>
          <w:b/>
          <w:color w:val="00188F"/>
        </w:rPr>
        <w:t>Crédito de Serviço</w:t>
      </w:r>
      <w:r w:rsidRPr="00924C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0C0B" w:rsidRPr="00B44CF9" w14:paraId="13E21EE5" w14:textId="77777777" w:rsidTr="00661DF9">
        <w:trPr>
          <w:tblHeader/>
        </w:trPr>
        <w:tc>
          <w:tcPr>
            <w:tcW w:w="5400" w:type="dxa"/>
            <w:shd w:val="clear" w:color="auto" w:fill="0072C6"/>
          </w:tcPr>
          <w:p w14:paraId="2088BBBD"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3896FFDA"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C60C0B" w:rsidRPr="00B44CF9" w14:paraId="41EBD30A" w14:textId="77777777" w:rsidTr="00661DF9">
        <w:tc>
          <w:tcPr>
            <w:tcW w:w="5400" w:type="dxa"/>
          </w:tcPr>
          <w:p w14:paraId="64C802B8" w14:textId="77777777" w:rsidR="00C60C0B" w:rsidRPr="00420E5B" w:rsidRDefault="00C60C0B" w:rsidP="00661DF9">
            <w:pPr>
              <w:pStyle w:val="ProductList-OfferingBody"/>
              <w:jc w:val="center"/>
              <w:rPr>
                <w:rFonts w:ascii="Calibri" w:hAnsi="Calibri" w:cs="Calibri"/>
              </w:rPr>
            </w:pPr>
            <w:r>
              <w:rPr>
                <w:rFonts w:ascii="Calibri" w:hAnsi="Calibri" w:cs="Calibri"/>
              </w:rPr>
              <w:t>&lt; 99,95%</w:t>
            </w:r>
          </w:p>
        </w:tc>
        <w:tc>
          <w:tcPr>
            <w:tcW w:w="5400" w:type="dxa"/>
          </w:tcPr>
          <w:p w14:paraId="681D2A47" w14:textId="77777777" w:rsidR="00C60C0B" w:rsidRPr="00420E5B" w:rsidRDefault="00C60C0B" w:rsidP="00661DF9">
            <w:pPr>
              <w:pStyle w:val="ProductList-OfferingBody"/>
              <w:jc w:val="center"/>
              <w:rPr>
                <w:rFonts w:ascii="Calibri" w:hAnsi="Calibri" w:cs="Calibri"/>
              </w:rPr>
            </w:pPr>
            <w:r>
              <w:rPr>
                <w:rFonts w:ascii="Calibri" w:hAnsi="Calibri" w:cs="Calibri"/>
              </w:rPr>
              <w:t>10%</w:t>
            </w:r>
          </w:p>
        </w:tc>
      </w:tr>
      <w:tr w:rsidR="00C60C0B" w:rsidRPr="00B44CF9" w14:paraId="2E39AE48" w14:textId="77777777" w:rsidTr="00661DF9">
        <w:tc>
          <w:tcPr>
            <w:tcW w:w="5400" w:type="dxa"/>
          </w:tcPr>
          <w:p w14:paraId="0F0BFA08" w14:textId="77777777" w:rsidR="00C60C0B" w:rsidRPr="00420E5B" w:rsidRDefault="00C60C0B" w:rsidP="00661DF9">
            <w:pPr>
              <w:pStyle w:val="ProductList-OfferingBody"/>
              <w:jc w:val="center"/>
              <w:rPr>
                <w:rFonts w:ascii="Calibri" w:hAnsi="Calibri" w:cs="Calibri"/>
              </w:rPr>
            </w:pPr>
            <w:r>
              <w:rPr>
                <w:rFonts w:ascii="Calibri" w:hAnsi="Calibri" w:cs="Calibri"/>
              </w:rPr>
              <w:t>&lt; 99%</w:t>
            </w:r>
          </w:p>
        </w:tc>
        <w:tc>
          <w:tcPr>
            <w:tcW w:w="5400" w:type="dxa"/>
          </w:tcPr>
          <w:p w14:paraId="5983BEC0" w14:textId="77777777" w:rsidR="00C60C0B" w:rsidRPr="00420E5B" w:rsidRDefault="00C60C0B" w:rsidP="00661DF9">
            <w:pPr>
              <w:pStyle w:val="ProductList-OfferingBody"/>
              <w:jc w:val="center"/>
              <w:rPr>
                <w:rFonts w:ascii="Calibri" w:hAnsi="Calibri" w:cs="Calibri"/>
              </w:rPr>
            </w:pPr>
            <w:r>
              <w:rPr>
                <w:rFonts w:ascii="Calibri" w:hAnsi="Calibri" w:cs="Calibri"/>
              </w:rPr>
              <w:t>25%</w:t>
            </w:r>
          </w:p>
        </w:tc>
      </w:tr>
    </w:tbl>
    <w:p w14:paraId="6F74610E" w14:textId="77777777" w:rsidR="00C60C0B" w:rsidRPr="00EF7CF9" w:rsidRDefault="00C60C0B" w:rsidP="00C60C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80C3B83" w14:textId="423BDD66" w:rsidR="004005AF" w:rsidRPr="00EF7CF9" w:rsidRDefault="004005AF" w:rsidP="00F01ED6">
      <w:pPr>
        <w:pStyle w:val="ProductList-Offering2Heading"/>
        <w:tabs>
          <w:tab w:val="clear" w:pos="360"/>
          <w:tab w:val="clear" w:pos="720"/>
          <w:tab w:val="clear" w:pos="1080"/>
        </w:tabs>
        <w:outlineLvl w:val="2"/>
      </w:pPr>
      <w:bookmarkStart w:id="139" w:name="_Toc182409622"/>
      <w:r>
        <w:t>Application Insights</w:t>
      </w:r>
      <w:bookmarkEnd w:id="133"/>
      <w:bookmarkEnd w:id="134"/>
      <w:bookmarkEnd w:id="135"/>
      <w:bookmarkEnd w:id="139"/>
    </w:p>
    <w:bookmarkEnd w:id="136"/>
    <w:p w14:paraId="0854076E" w14:textId="77777777" w:rsidR="004005AF" w:rsidRPr="00EF7CF9" w:rsidRDefault="004005AF" w:rsidP="00F01ED6">
      <w:pPr>
        <w:pStyle w:val="ProductList-Body"/>
      </w:pPr>
      <w:r>
        <w:rPr>
          <w:b/>
          <w:color w:val="00188F"/>
        </w:rPr>
        <w:t>Definições Adicionais</w:t>
      </w:r>
      <w:r w:rsidRPr="00473DD3">
        <w:rPr>
          <w:b/>
          <w:color w:val="00188F"/>
        </w:rPr>
        <w:t>:</w:t>
      </w:r>
    </w:p>
    <w:p w14:paraId="1AADBDBC" w14:textId="7A805C5D" w:rsidR="004005AF" w:rsidRPr="00EF7CF9" w:rsidRDefault="00380305" w:rsidP="00F01ED6">
      <w:pPr>
        <w:spacing w:after="0" w:line="240" w:lineRule="auto"/>
        <w:rPr>
          <w:sz w:val="18"/>
          <w:szCs w:val="18"/>
        </w:rPr>
      </w:pPr>
      <w:r>
        <w:rPr>
          <w:sz w:val="18"/>
        </w:rPr>
        <w:t>“</w:t>
      </w:r>
      <w:r w:rsidR="004005AF">
        <w:rPr>
          <w:b/>
          <w:color w:val="00188F"/>
          <w:sz w:val="18"/>
        </w:rPr>
        <w:t>Recurso do Application Insights</w:t>
      </w:r>
      <w:r>
        <w:rPr>
          <w:sz w:val="18"/>
        </w:rPr>
        <w:t>”</w:t>
      </w:r>
      <w:r w:rsidR="004005AF">
        <w:rPr>
          <w:sz w:val="18"/>
        </w:rPr>
        <w:t xml:space="preserve"> </w:t>
      </w:r>
      <w:r w:rsidR="004005AF">
        <w:rPr>
          <w:sz w:val="18"/>
          <w:szCs w:val="18"/>
        </w:rPr>
        <w:t>designa o contentor no Application Insights que recolhe, processa e armazena os dados para uma chave de instrumentação única.</w:t>
      </w:r>
    </w:p>
    <w:p w14:paraId="1654A6AC" w14:textId="67030E0A" w:rsidR="004005AF" w:rsidRPr="00EF7CF9" w:rsidRDefault="00380305" w:rsidP="00F01ED6">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designa o número total de minutos durante os quais um determinado Recurso do Application Insights esteve implementado pelo Cliente numa subscrição do Microsoft Azure durante um Período Aplicável.</w:t>
      </w:r>
    </w:p>
    <w:p w14:paraId="488AD200" w14:textId="770BDEA3" w:rsidR="004005AF" w:rsidRPr="00EF7CF9" w:rsidRDefault="00380305" w:rsidP="00F01ED6">
      <w:pPr>
        <w:spacing w:after="0" w:line="240" w:lineRule="auto"/>
        <w:rPr>
          <w:sz w:val="18"/>
          <w:szCs w:val="18"/>
        </w:rPr>
      </w:pPr>
      <w:r>
        <w:rPr>
          <w:sz w:val="18"/>
        </w:rPr>
        <w:t>“</w:t>
      </w:r>
      <w:r w:rsidR="004005AF">
        <w:rPr>
          <w:b/>
          <w:color w:val="00188F"/>
          <w:sz w:val="18"/>
        </w:rPr>
        <w:t>Período de Indisponibilidade</w:t>
      </w:r>
      <w:r>
        <w:rPr>
          <w:sz w:val="18"/>
        </w:rPr>
        <w:t>”</w:t>
      </w:r>
      <w:r w:rsidR="004005AF">
        <w:rPr>
          <w:sz w:val="18"/>
          <w:szCs w:val="18"/>
        </w:rPr>
        <w:t xml:space="preserve"> designa o número total de minutos durante o Máximo de Minutos Disponíveis durante os quais os dados num Recurso do Application Insights estão indisponíveis. Um minuto será considerado indisponível para um determinado Recurso do Application Insights se durante esse minuto não se registar qualquer operação de HTTP que devolva um Código de Sucesso.</w:t>
      </w:r>
    </w:p>
    <w:p w14:paraId="77D1985E" w14:textId="417834CB" w:rsidR="004005AF" w:rsidRDefault="004005AF" w:rsidP="00F01ED6">
      <w:pPr>
        <w:pStyle w:val="ProductList-Body"/>
      </w:pPr>
      <w:r>
        <w:rPr>
          <w:b/>
          <w:color w:val="00188F"/>
        </w:rPr>
        <w:t>Percentagem de Disponibilidade para Consulta</w:t>
      </w:r>
      <w:r w:rsidRPr="00473DD3">
        <w:rPr>
          <w:b/>
          <w:color w:val="00188F"/>
        </w:rPr>
        <w:t>:</w:t>
      </w:r>
      <w:r>
        <w:t xml:space="preserve"> de um determinado Recurso do Application Insights num Período Aplicável é calculada como o</w:t>
      </w:r>
      <w:r w:rsidR="00DE302F">
        <w:t> </w:t>
      </w:r>
      <w:r>
        <w:t>Máximo de Minutos Disponíveis menos o Período de Indisponibilidade, a dividir pelo Máximo de Minutos Disponíveis a multiplicar por 100.</w:t>
      </w:r>
    </w:p>
    <w:p w14:paraId="3ECF4E93" w14:textId="2F285CC5" w:rsidR="004005AF" w:rsidRDefault="004005AF" w:rsidP="00F01ED6">
      <w:pPr>
        <w:pStyle w:val="ProductList-Body"/>
      </w:pPr>
      <w:r>
        <w:t>A Percentagem de Disponibilidade para Consulta é calculada utilizando a seguinte fórmula:</w:t>
      </w:r>
    </w:p>
    <w:p w14:paraId="32064421" w14:textId="77777777" w:rsidR="004005AF" w:rsidRPr="00EF7CF9" w:rsidRDefault="004005AF" w:rsidP="00F01ED6">
      <w:pPr>
        <w:pStyle w:val="ProductList-Body"/>
      </w:pPr>
    </w:p>
    <w:p w14:paraId="357080F4" w14:textId="35DE21BF"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0FD7C0" w14:textId="77777777" w:rsidR="004005AF" w:rsidRPr="00EF7CF9" w:rsidRDefault="004005AF" w:rsidP="00F01ED6">
      <w:pPr>
        <w:pStyle w:val="ProductList-Body"/>
      </w:pPr>
      <w:r>
        <w:rPr>
          <w:b/>
          <w:color w:val="00188F"/>
        </w:rPr>
        <w:t>Os seguintes Níveis de Serviço e Créditos de Serviço são aplicáveis à utilização que o Cliente faz do Serviço do Application Insights – SLA de Disponibilidade para Consulta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F01ED6">
            <w:pPr>
              <w:pStyle w:val="ProductList-OfferingBody"/>
              <w:jc w:val="center"/>
              <w:rPr>
                <w:color w:val="FFFFFF" w:themeColor="background1"/>
              </w:rPr>
            </w:pPr>
            <w:r>
              <w:rPr>
                <w:color w:val="FFFFFF" w:themeColor="background1"/>
              </w:rPr>
              <w:t>Percentagem de Disponibilidade para Consulta</w:t>
            </w:r>
          </w:p>
        </w:tc>
        <w:tc>
          <w:tcPr>
            <w:tcW w:w="5400" w:type="dxa"/>
            <w:shd w:val="clear" w:color="auto" w:fill="0072C6"/>
          </w:tcPr>
          <w:p w14:paraId="42720DC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F01ED6">
            <w:pPr>
              <w:pStyle w:val="ProductList-OfferingBody"/>
              <w:jc w:val="center"/>
            </w:pPr>
            <w:r>
              <w:t>&lt; 99,9%</w:t>
            </w:r>
          </w:p>
        </w:tc>
        <w:tc>
          <w:tcPr>
            <w:tcW w:w="5400" w:type="dxa"/>
          </w:tcPr>
          <w:p w14:paraId="5B070644" w14:textId="77777777" w:rsidR="004005AF" w:rsidRPr="00EF7CF9" w:rsidRDefault="004005AF" w:rsidP="00F01ED6">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F01ED6">
            <w:pPr>
              <w:pStyle w:val="ProductList-OfferingBody"/>
              <w:jc w:val="center"/>
            </w:pPr>
            <w:r>
              <w:t>&lt; 99%</w:t>
            </w:r>
          </w:p>
        </w:tc>
        <w:tc>
          <w:tcPr>
            <w:tcW w:w="5400" w:type="dxa"/>
          </w:tcPr>
          <w:p w14:paraId="3CEF9A53" w14:textId="77777777" w:rsidR="004005AF" w:rsidRPr="00EF7CF9" w:rsidRDefault="004005AF" w:rsidP="00F01ED6">
            <w:pPr>
              <w:pStyle w:val="ProductList-OfferingBody"/>
              <w:jc w:val="center"/>
            </w:pPr>
            <w:r>
              <w:t>25%</w:t>
            </w:r>
          </w:p>
        </w:tc>
      </w:tr>
    </w:tbl>
    <w:bookmarkStart w:id="140" w:name="_Toc52348922"/>
    <w:p w14:paraId="40E5CAA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CDCA556" w14:textId="77777777" w:rsidR="00D421F3" w:rsidRPr="00D421F3" w:rsidRDefault="00D421F3" w:rsidP="00F01ED6">
      <w:pPr>
        <w:pStyle w:val="ProductList-Offering2Heading"/>
        <w:keepNext/>
        <w:tabs>
          <w:tab w:val="clear" w:pos="360"/>
          <w:tab w:val="clear" w:pos="720"/>
          <w:tab w:val="clear" w:pos="1080"/>
        </w:tabs>
        <w:outlineLvl w:val="2"/>
      </w:pPr>
      <w:bookmarkStart w:id="141" w:name="_Toc182409623"/>
      <w:r>
        <w:t>Azure Applied AI Services</w:t>
      </w:r>
      <w:bookmarkEnd w:id="141"/>
    </w:p>
    <w:p w14:paraId="67BFCB87" w14:textId="77777777" w:rsidR="00D421F3" w:rsidRPr="00D421F3" w:rsidRDefault="00D421F3" w:rsidP="00F01ED6">
      <w:pPr>
        <w:pStyle w:val="ProductList-Body"/>
        <w:keepNext/>
        <w:rPr>
          <w:b/>
          <w:color w:val="00188F"/>
        </w:rPr>
      </w:pPr>
      <w:r>
        <w:rPr>
          <w:b/>
          <w:color w:val="00188F"/>
        </w:rPr>
        <w:t>Definições Adicionais</w:t>
      </w:r>
    </w:p>
    <w:p w14:paraId="43EFDA7A" w14:textId="7C244661" w:rsidR="00D421F3" w:rsidRDefault="00380305" w:rsidP="00F01ED6">
      <w:pPr>
        <w:pStyle w:val="ProductList-Body"/>
      </w:pPr>
      <w:r>
        <w:t>“</w:t>
      </w:r>
      <w:r w:rsidR="00D421F3">
        <w:rPr>
          <w:b/>
          <w:bCs/>
          <w:color w:val="00188F"/>
        </w:rPr>
        <w:t>Total de Tentativas de Transação</w:t>
      </w:r>
      <w:r>
        <w:t>”</w:t>
      </w:r>
      <w:r w:rsidR="00D421F3">
        <w:t xml:space="preserve"> é o número total de pedidos da API autenticados efetuado pelo Cliente durante um Período Aplicável para uma</w:t>
      </w:r>
      <w:r w:rsidR="00382174">
        <w:t> </w:t>
      </w:r>
      <w:r w:rsidR="00D421F3">
        <w:t>determinada API de Serviços de IA Aplicados. O Total de Tentativas de Transação não inclui os pedidos de API que devolvem um Código de</w:t>
      </w:r>
      <w:r w:rsidR="00870D57">
        <w:t> </w:t>
      </w:r>
      <w:r w:rsidR="00D421F3">
        <w:t>Erro e que são repetidos continuamente num intervalo de cinco minutos após a receção do primeiro Código de Erro.</w:t>
      </w:r>
    </w:p>
    <w:p w14:paraId="246229B3" w14:textId="3868C050" w:rsidR="00D421F3" w:rsidRDefault="00380305" w:rsidP="00F01ED6">
      <w:pPr>
        <w:pStyle w:val="ProductList-Body"/>
      </w:pPr>
      <w:r>
        <w:t>“</w:t>
      </w:r>
      <w:r w:rsidR="00D421F3">
        <w:rPr>
          <w:b/>
          <w:bCs/>
          <w:color w:val="00188F"/>
        </w:rPr>
        <w:t>Transações com Falha</w:t>
      </w:r>
      <w:r>
        <w:t>”</w:t>
      </w:r>
      <w:r w:rsidR="00D421F3">
        <w:t xml:space="preserve"> é o conjunto de todos os pedidos para a API de Serviços de IA Aplicados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79EA40AD" w14:textId="07DDFC01" w:rsidR="00D421F3" w:rsidRPr="00D421F3" w:rsidRDefault="00EE6E3C" w:rsidP="00F01ED6">
      <w:pPr>
        <w:pStyle w:val="ProductList-Body"/>
        <w:spacing w:before="120"/>
        <w:rPr>
          <w:b/>
          <w:bCs/>
          <w:color w:val="00188F"/>
        </w:rPr>
      </w:pPr>
      <w:r>
        <w:rPr>
          <w:b/>
          <w:bCs/>
          <w:color w:val="00188F"/>
        </w:rPr>
        <w:t>Cálculo do Período de Disponibilidade</w:t>
      </w:r>
    </w:p>
    <w:p w14:paraId="2AC01500" w14:textId="60762D65" w:rsidR="00D421F3" w:rsidRDefault="00D421F3" w:rsidP="00F01ED6">
      <w:pPr>
        <w:pStyle w:val="ProductList-Body"/>
      </w:pPr>
      <w:r>
        <w:t xml:space="preserve">A </w:t>
      </w:r>
      <w:r w:rsidR="00380305">
        <w:t>“</w:t>
      </w:r>
      <w:r>
        <w:rPr>
          <w:b/>
          <w:bCs/>
          <w:color w:val="00188F"/>
        </w:rPr>
        <w:t>Percentagem de Período de Disponibilidade</w:t>
      </w:r>
      <w:r w:rsidR="00380305">
        <w:t>”</w:t>
      </w:r>
      <w:r>
        <w:t xml:space="preserve"> para cada Serviço da API é calculada como o Total de Tentativas de Transação menos as Transações com Falha dividido pelo Total de Tentativas de Transação num Período Aplicável para uma determinada subscrição da API. A</w:t>
      </w:r>
      <w:r w:rsidR="00173870">
        <w:t> </w:t>
      </w:r>
      <w:r>
        <w:t>Percentagem de Período de Disponibilidade é representada pela seguinte fórmula:</w:t>
      </w:r>
    </w:p>
    <w:p w14:paraId="380F3BBD" w14:textId="77777777" w:rsidR="00D421F3" w:rsidRPr="00EF7CF9" w:rsidRDefault="00D421F3" w:rsidP="00F01ED6">
      <w:pPr>
        <w:pStyle w:val="ProductList-Body"/>
      </w:pPr>
    </w:p>
    <w:p w14:paraId="3B739F3F" w14:textId="54AB2CD8" w:rsidR="00D421F3"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4C7DC6">
      <w:pPr>
        <w:pStyle w:val="ProductList-Body"/>
        <w:keepNext/>
        <w:keepLines/>
        <w:rPr>
          <w:b/>
          <w:bCs/>
          <w:color w:val="00188F"/>
        </w:rPr>
      </w:pPr>
      <w:r>
        <w:rPr>
          <w:b/>
          <w:bCs/>
          <w:color w:val="00188F"/>
        </w:rPr>
        <w:t>Os seguintes Níveis de Serviço e Créditos de Serviço são aplicáveis às APIs de Serviços de IA Aplicados: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4C7DC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669D9475" w14:textId="77777777" w:rsidR="00D421F3" w:rsidRPr="00EF7CF9" w:rsidRDefault="00D421F3" w:rsidP="004C7DC6">
            <w:pPr>
              <w:pStyle w:val="ProductList-OfferingBody"/>
              <w:keepNext/>
              <w:keepLines/>
              <w:jc w:val="center"/>
              <w:rPr>
                <w:color w:val="FFFFFF" w:themeColor="background1"/>
              </w:rPr>
            </w:pPr>
            <w:r>
              <w:rPr>
                <w:color w:val="FFFFFF" w:themeColor="background1"/>
              </w:rPr>
              <w:t>Crédito de Serviço</w:t>
            </w:r>
          </w:p>
        </w:tc>
      </w:tr>
      <w:tr w:rsidR="00D421F3" w:rsidRPr="00B44CF9" w14:paraId="68F741D8" w14:textId="77777777" w:rsidTr="00277097">
        <w:trPr>
          <w:trHeight w:val="242"/>
        </w:trPr>
        <w:tc>
          <w:tcPr>
            <w:tcW w:w="5400" w:type="dxa"/>
          </w:tcPr>
          <w:p w14:paraId="4DCEF711" w14:textId="77777777" w:rsidR="00D421F3" w:rsidRPr="00EF7CF9" w:rsidRDefault="00D421F3" w:rsidP="004C7DC6">
            <w:pPr>
              <w:pStyle w:val="ProductList-OfferingBody"/>
              <w:keepNext/>
              <w:keepLines/>
              <w:jc w:val="center"/>
            </w:pPr>
            <w:r>
              <w:t>&lt; 99,9%</w:t>
            </w:r>
          </w:p>
        </w:tc>
        <w:tc>
          <w:tcPr>
            <w:tcW w:w="5400" w:type="dxa"/>
          </w:tcPr>
          <w:p w14:paraId="17E93732" w14:textId="77777777" w:rsidR="00D421F3" w:rsidRPr="00EF7CF9" w:rsidRDefault="00D421F3" w:rsidP="004C7DC6">
            <w:pPr>
              <w:pStyle w:val="ProductList-OfferingBody"/>
              <w:keepNext/>
              <w:keepLines/>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662BA4">
            <w:pPr>
              <w:pStyle w:val="ProductList-OfferingBody"/>
              <w:keepNext/>
              <w:keepLines/>
              <w:jc w:val="center"/>
            </w:pPr>
            <w:r>
              <w:t>&lt; 99%</w:t>
            </w:r>
          </w:p>
        </w:tc>
        <w:tc>
          <w:tcPr>
            <w:tcW w:w="5400" w:type="dxa"/>
          </w:tcPr>
          <w:p w14:paraId="260EBCB3" w14:textId="77777777" w:rsidR="00D421F3" w:rsidRPr="00EF7CF9" w:rsidRDefault="00D421F3" w:rsidP="00662BA4">
            <w:pPr>
              <w:pStyle w:val="ProductList-OfferingBody"/>
              <w:keepNext/>
              <w:keepLines/>
              <w:jc w:val="center"/>
            </w:pPr>
            <w:r>
              <w:t>25%</w:t>
            </w:r>
          </w:p>
        </w:tc>
      </w:tr>
    </w:tbl>
    <w:p w14:paraId="15F47403"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D8257E8" w14:textId="77777777" w:rsidR="002B6211" w:rsidRPr="002B6211" w:rsidRDefault="002B6211" w:rsidP="00485BEC">
      <w:pPr>
        <w:pStyle w:val="ProductList-Offering2Heading"/>
        <w:keepNext/>
        <w:tabs>
          <w:tab w:val="clear" w:pos="360"/>
          <w:tab w:val="clear" w:pos="720"/>
          <w:tab w:val="clear" w:pos="1080"/>
        </w:tabs>
        <w:outlineLvl w:val="2"/>
      </w:pPr>
      <w:bookmarkStart w:id="142" w:name="_Toc182409624"/>
      <w:r>
        <w:t>Azure Arc</w:t>
      </w:r>
      <w:bookmarkEnd w:id="142"/>
    </w:p>
    <w:p w14:paraId="7C733692" w14:textId="77777777" w:rsidR="002B6211" w:rsidRPr="002B6211" w:rsidRDefault="002B6211" w:rsidP="00F01ED6">
      <w:pPr>
        <w:pStyle w:val="ProductList-Body"/>
        <w:rPr>
          <w:b/>
          <w:color w:val="00188F"/>
        </w:rPr>
      </w:pPr>
      <w:r>
        <w:rPr>
          <w:b/>
          <w:color w:val="00188F"/>
        </w:rPr>
        <w:t>Definições Adicionais</w:t>
      </w:r>
    </w:p>
    <w:p w14:paraId="6B017054" w14:textId="06E5730E" w:rsidR="002B6211" w:rsidRPr="000C03EC" w:rsidRDefault="00380305" w:rsidP="00F01ED6">
      <w:pPr>
        <w:pStyle w:val="ProductList-Body"/>
        <w:rPr>
          <w:spacing w:val="-3"/>
        </w:rPr>
      </w:pPr>
      <w:r>
        <w:rPr>
          <w:spacing w:val="-3"/>
        </w:rPr>
        <w:t>“</w:t>
      </w:r>
      <w:r w:rsidR="002B6211" w:rsidRPr="000C03EC">
        <w:rPr>
          <w:b/>
          <w:bCs/>
          <w:color w:val="00188F"/>
          <w:spacing w:val="-3"/>
        </w:rPr>
        <w:t>Máximo de Minutos Disponíveis</w:t>
      </w:r>
      <w:r>
        <w:rPr>
          <w:spacing w:val="-3"/>
        </w:rPr>
        <w:t>”</w:t>
      </w:r>
      <w:r w:rsidR="002B6211" w:rsidRPr="000C03EC">
        <w:rPr>
          <w:spacing w:val="-3"/>
        </w:rPr>
        <w:t xml:space="preserve"> designa o total de minutos acumulados num Período Aplicável no qual pelo menos um recurso do Azure de configuração de atribuição de Kubernetes foi implementado num recurso de Kubernetes ativados para o Azure Arc numa subscrição do Microsoft Azure.</w:t>
      </w:r>
    </w:p>
    <w:p w14:paraId="6177EA62" w14:textId="62A982A1" w:rsidR="002B6211" w:rsidRDefault="00380305" w:rsidP="00F01ED6">
      <w:pPr>
        <w:pStyle w:val="ProductList-Body"/>
      </w:pPr>
      <w:r>
        <w:t>“</w:t>
      </w:r>
      <w:r w:rsidR="002B6211">
        <w:rPr>
          <w:b/>
          <w:bCs/>
          <w:color w:val="00188F"/>
        </w:rPr>
        <w:t>Período de Indisponibilidade</w:t>
      </w:r>
      <w:r>
        <w:t>”</w:t>
      </w:r>
      <w:r w:rsidR="002B6211">
        <w:t xml:space="preserve"> é o total acumulado de Máximo de Minutos Disponíveis num Período Aplicável no qual pelo menos um recurso do Azure de Configuração de Kubernetes foi implementado num recurso de Kubernetes ativado para o Azure Arc, mas as operações da API REST para o recurso do Azure de configuração de Kubernetes estão indisponíveis.</w:t>
      </w:r>
    </w:p>
    <w:p w14:paraId="34BE21C7" w14:textId="07B13173" w:rsidR="002B6211" w:rsidRDefault="00380305" w:rsidP="00F01ED6">
      <w:pPr>
        <w:pStyle w:val="ProductList-Body"/>
      </w:pPr>
      <w:r>
        <w:t>“</w:t>
      </w:r>
      <w:r w:rsidR="002B6211">
        <w:rPr>
          <w:b/>
          <w:bCs/>
          <w:color w:val="00188F"/>
        </w:rPr>
        <w:t>Percentagem de Período de Disponibilidade</w:t>
      </w:r>
      <w:r>
        <w:t>”</w:t>
      </w:r>
      <w:r w:rsidR="002B6211">
        <w:t xml:space="preserve"> A Percentagem de Período de Disponibilidade é calculada utilizando a seguinte fórmula:</w:t>
      </w:r>
    </w:p>
    <w:p w14:paraId="1DD65488" w14:textId="77777777" w:rsidR="002B6211" w:rsidRPr="00EF7CF9" w:rsidRDefault="002B6211" w:rsidP="00F01ED6">
      <w:pPr>
        <w:pStyle w:val="ProductList-Body"/>
      </w:pPr>
    </w:p>
    <w:p w14:paraId="4275B73A" w14:textId="18FEFBB6" w:rsidR="002B6211"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718AC" w14:textId="77777777" w:rsidR="002B6211" w:rsidRPr="002B6211" w:rsidRDefault="002B6211" w:rsidP="00F01ED6">
      <w:pPr>
        <w:pStyle w:val="ProductList-Body"/>
        <w:keepNext/>
        <w:rPr>
          <w:b/>
          <w:bCs/>
          <w:color w:val="00188F"/>
        </w:rPr>
      </w:pPr>
      <w:r>
        <w:rPr>
          <w:b/>
          <w:bCs/>
          <w:color w:val="00188F"/>
        </w:rPr>
        <w:t>Os seguintes Níveis de Serviço e Créditos de Serviço são aplicáveis à utilização que o Cliente faz do recurso do Azure de configuração de Kubernetes para além dos Kubernetes ativados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C37A494" w14:textId="77777777" w:rsidR="002B6211" w:rsidRPr="00EF7CF9" w:rsidRDefault="002B6211" w:rsidP="00F01ED6">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F01ED6">
            <w:pPr>
              <w:pStyle w:val="ProductList-OfferingBody"/>
              <w:jc w:val="center"/>
            </w:pPr>
            <w:r>
              <w:t>&lt; 99,9%</w:t>
            </w:r>
          </w:p>
        </w:tc>
        <w:tc>
          <w:tcPr>
            <w:tcW w:w="5400" w:type="dxa"/>
          </w:tcPr>
          <w:p w14:paraId="50BDEC79" w14:textId="77777777" w:rsidR="002B6211" w:rsidRPr="00EF7CF9" w:rsidRDefault="002B6211" w:rsidP="00F01ED6">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F01ED6">
            <w:pPr>
              <w:pStyle w:val="ProductList-OfferingBody"/>
              <w:jc w:val="center"/>
            </w:pPr>
            <w:r>
              <w:t>&lt; 99%</w:t>
            </w:r>
          </w:p>
        </w:tc>
        <w:tc>
          <w:tcPr>
            <w:tcW w:w="5400" w:type="dxa"/>
          </w:tcPr>
          <w:p w14:paraId="6F7A6689" w14:textId="77777777" w:rsidR="002B6211" w:rsidRPr="00EF7CF9" w:rsidRDefault="002B6211" w:rsidP="00F01ED6">
            <w:pPr>
              <w:pStyle w:val="ProductList-OfferingBody"/>
              <w:jc w:val="center"/>
            </w:pPr>
            <w:r>
              <w:t>25%</w:t>
            </w:r>
          </w:p>
        </w:tc>
      </w:tr>
    </w:tbl>
    <w:p w14:paraId="6DD2107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F3A8B4" w14:textId="062E33AB" w:rsidR="004005AF" w:rsidRPr="00EF7CF9" w:rsidRDefault="004005AF" w:rsidP="00F01ED6">
      <w:pPr>
        <w:pStyle w:val="ProductList-Offering2Heading"/>
        <w:tabs>
          <w:tab w:val="clear" w:pos="360"/>
          <w:tab w:val="clear" w:pos="720"/>
          <w:tab w:val="clear" w:pos="1080"/>
        </w:tabs>
        <w:outlineLvl w:val="2"/>
      </w:pPr>
      <w:bookmarkStart w:id="143" w:name="_Toc182409625"/>
      <w:r>
        <w:t>Automatização</w:t>
      </w:r>
      <w:bookmarkEnd w:id="137"/>
      <w:bookmarkEnd w:id="140"/>
      <w:bookmarkEnd w:id="143"/>
    </w:p>
    <w:p w14:paraId="289BCC2C" w14:textId="77777777" w:rsidR="004005AF" w:rsidRDefault="004005AF" w:rsidP="00F01ED6">
      <w:pPr>
        <w:pStyle w:val="ProductList-Body"/>
        <w:rPr>
          <w:b/>
          <w:color w:val="00188F"/>
        </w:rPr>
      </w:pPr>
      <w:r>
        <w:rPr>
          <w:b/>
          <w:color w:val="00188F"/>
        </w:rPr>
        <w:t>Serviço de Automatização – Configuração de Estado Pretendido (DSC)</w:t>
      </w:r>
    </w:p>
    <w:p w14:paraId="7BF47219" w14:textId="77777777" w:rsidR="004005AF" w:rsidRPr="00EF7CF9" w:rsidRDefault="004005AF" w:rsidP="00F01ED6">
      <w:pPr>
        <w:pStyle w:val="ProductList-Body"/>
      </w:pPr>
      <w:r>
        <w:rPr>
          <w:b/>
          <w:color w:val="00188F"/>
        </w:rPr>
        <w:t>Definições Adicionais</w:t>
      </w:r>
      <w:r w:rsidRPr="00473DD3">
        <w:rPr>
          <w:b/>
          <w:color w:val="00188F"/>
        </w:rPr>
        <w:t>:</w:t>
      </w:r>
    </w:p>
    <w:p w14:paraId="6BCA192C" w14:textId="2A931139" w:rsidR="004005AF" w:rsidRPr="00EF7CF9" w:rsidRDefault="00380305" w:rsidP="00F01ED6">
      <w:pPr>
        <w:pStyle w:val="ProductList-Body"/>
      </w:pPr>
      <w:r>
        <w:t>“</w:t>
      </w:r>
      <w:r w:rsidR="004005AF">
        <w:rPr>
          <w:b/>
          <w:color w:val="00188F"/>
        </w:rPr>
        <w:t>Minutos de Implementação</w:t>
      </w:r>
      <w:r>
        <w:t>”</w:t>
      </w:r>
      <w:r w:rsidR="004005AF">
        <w:t xml:space="preserve"> designa o número total de minutos durante os quais uma determinada conta de Automatização foi implementada no Microsoft Azure durante um Período Aplicável.</w:t>
      </w:r>
    </w:p>
    <w:p w14:paraId="4334A2FF" w14:textId="6027D650" w:rsidR="004005AF" w:rsidRPr="00EF7CF9" w:rsidRDefault="00380305" w:rsidP="00F01ED6">
      <w:pPr>
        <w:pStyle w:val="ProductList-Body"/>
        <w:spacing w:after="40"/>
      </w:pPr>
      <w:r>
        <w:t>“</w:t>
      </w:r>
      <w:r w:rsidR="004005AF">
        <w:rPr>
          <w:b/>
          <w:color w:val="00188F"/>
        </w:rPr>
        <w:t>Serviço de Agente DSC</w:t>
      </w:r>
      <w:r>
        <w:t>”</w:t>
      </w:r>
      <w:r w:rsidR="004005AF">
        <w:t xml:space="preserve"> é </w:t>
      </w:r>
      <w:r w:rsidR="004005AF">
        <w:rPr>
          <w:shd w:val="clear" w:color="auto" w:fill="FFFFFF"/>
        </w:rPr>
        <w:t>o componente do Serviço de Automatização responsável pela receção e pela resposta aos pedidos de Pull, registo e</w:t>
      </w:r>
      <w:r w:rsidR="00250B1B">
        <w:rPr>
          <w:shd w:val="clear" w:color="auto" w:fill="FFFFFF"/>
        </w:rPr>
        <w:t> </w:t>
      </w:r>
      <w:r w:rsidR="004005AF">
        <w:rPr>
          <w:shd w:val="clear" w:color="auto" w:fill="FFFFFF"/>
        </w:rPr>
        <w:t>relatórios dos nós DSC</w:t>
      </w:r>
      <w:r w:rsidR="004005AF">
        <w:t>.</w:t>
      </w:r>
    </w:p>
    <w:p w14:paraId="555DEDC6" w14:textId="4EA26630"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contas de Automatização implementadas numa determinada subscrição do Microsoft Azure durante um Período Aplicável.</w:t>
      </w:r>
    </w:p>
    <w:p w14:paraId="79CDEBD9" w14:textId="77777777" w:rsidR="004005AF" w:rsidRPr="000C03EC" w:rsidRDefault="004005AF" w:rsidP="00F01ED6">
      <w:pPr>
        <w:pStyle w:val="ProductList-Body"/>
        <w:rPr>
          <w:spacing w:val="-2"/>
        </w:rPr>
      </w:pPr>
      <w:r w:rsidRPr="000C03EC">
        <w:rPr>
          <w:b/>
          <w:color w:val="00188F"/>
          <w:spacing w:val="-2"/>
        </w:rPr>
        <w:t>Período de Indisponibilidade</w:t>
      </w:r>
      <w:r w:rsidRPr="00473DD3">
        <w:rPr>
          <w:b/>
          <w:color w:val="00188F"/>
          <w:spacing w:val="-2"/>
        </w:rPr>
        <w:t>:</w:t>
      </w:r>
      <w:r w:rsidRPr="000C03EC">
        <w:rPr>
          <w:spacing w:val="-2"/>
        </w:rPr>
        <w:t xml:space="preserve"> O total acumulado de Minutos de Implementação, em todas as contas de Automatização implementadas numa determinada subscrição do Microsoft Azure, durante o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3B3CD689" w14:textId="17068EA4"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7FF1FE9" w14:textId="77777777" w:rsidR="004005AF" w:rsidRPr="00EF7CF9" w:rsidRDefault="004005AF" w:rsidP="00F01ED6">
      <w:pPr>
        <w:pStyle w:val="ProductList-Body"/>
      </w:pPr>
    </w:p>
    <w:p w14:paraId="0177F4D5" w14:textId="30D7E292"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1F831EB"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584A12"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F01ED6">
            <w:pPr>
              <w:pStyle w:val="ProductList-OfferingBody"/>
              <w:jc w:val="center"/>
            </w:pPr>
            <w:r>
              <w:t>&lt; 99,9%</w:t>
            </w:r>
          </w:p>
        </w:tc>
        <w:tc>
          <w:tcPr>
            <w:tcW w:w="5400" w:type="dxa"/>
          </w:tcPr>
          <w:p w14:paraId="4EC5DC32" w14:textId="77777777" w:rsidR="004005AF" w:rsidRPr="00EF7CF9" w:rsidRDefault="004005AF" w:rsidP="00F01ED6">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F01ED6">
            <w:pPr>
              <w:pStyle w:val="ProductList-OfferingBody"/>
              <w:jc w:val="center"/>
            </w:pPr>
            <w:r>
              <w:t>&lt; 99%</w:t>
            </w:r>
          </w:p>
        </w:tc>
        <w:tc>
          <w:tcPr>
            <w:tcW w:w="5400" w:type="dxa"/>
          </w:tcPr>
          <w:p w14:paraId="627DA1D5" w14:textId="77777777" w:rsidR="004005AF" w:rsidRPr="00EF7CF9" w:rsidRDefault="004005AF" w:rsidP="00F01ED6">
            <w:pPr>
              <w:pStyle w:val="ProductList-OfferingBody"/>
              <w:jc w:val="center"/>
            </w:pPr>
            <w:r>
              <w:t>25%</w:t>
            </w:r>
          </w:p>
        </w:tc>
      </w:tr>
    </w:tbl>
    <w:p w14:paraId="56E8840B" w14:textId="3DC9DA84" w:rsidR="004005AF" w:rsidRDefault="004005AF" w:rsidP="00F01ED6">
      <w:pPr>
        <w:pStyle w:val="ProductList-Body"/>
        <w:tabs>
          <w:tab w:val="clear" w:pos="360"/>
          <w:tab w:val="clear" w:pos="720"/>
          <w:tab w:val="clear" w:pos="1080"/>
        </w:tabs>
        <w:spacing w:before="120" w:after="240"/>
        <w:rPr>
          <w:color w:val="000000" w:themeColor="text1"/>
        </w:rPr>
      </w:pPr>
      <w:bookmarkStart w:id="144" w:name="_Toc457821539"/>
      <w:r>
        <w:rPr>
          <w:b/>
          <w:bCs/>
          <w:color w:val="00188F"/>
        </w:rPr>
        <w:t>Termos Adicionais</w:t>
      </w:r>
      <w:r w:rsidRPr="00473DD3">
        <w:rPr>
          <w:b/>
          <w:bCs/>
          <w:color w:val="00188F"/>
        </w:rPr>
        <w:t>:</w:t>
      </w:r>
      <w:r>
        <w:rPr>
          <w:color w:val="000000" w:themeColor="text1"/>
        </w:rPr>
        <w:t xml:space="preserve"> Os Créditos de Serviço são aplicáveis apenas às taxas atribuíveis à utilização da funcionalidade DSC por parte do Cliente no Serviço de Automatização.</w:t>
      </w:r>
    </w:p>
    <w:p w14:paraId="311E85AB" w14:textId="77777777" w:rsidR="004005AF" w:rsidRPr="00ED4527" w:rsidRDefault="004005AF" w:rsidP="00F01ED6">
      <w:pPr>
        <w:pStyle w:val="ProductList-Body"/>
        <w:tabs>
          <w:tab w:val="clear" w:pos="360"/>
          <w:tab w:val="clear" w:pos="720"/>
          <w:tab w:val="clear" w:pos="1080"/>
        </w:tabs>
        <w:spacing w:before="240"/>
        <w:rPr>
          <w:b/>
          <w:bCs/>
          <w:color w:val="00188F"/>
        </w:rPr>
      </w:pPr>
      <w:r>
        <w:rPr>
          <w:b/>
          <w:bCs/>
          <w:color w:val="00188F"/>
        </w:rPr>
        <w:t>Serviço de Automatização – Automatização de Processos</w:t>
      </w:r>
    </w:p>
    <w:bookmarkEnd w:id="144"/>
    <w:p w14:paraId="026B0EC1" w14:textId="77777777" w:rsidR="004005AF" w:rsidRPr="00EF7CF9" w:rsidRDefault="004005AF" w:rsidP="00F01ED6">
      <w:pPr>
        <w:pStyle w:val="ProductList-Body"/>
      </w:pPr>
      <w:r>
        <w:rPr>
          <w:b/>
          <w:color w:val="00188F"/>
        </w:rPr>
        <w:t>Definições Adicionais</w:t>
      </w:r>
      <w:r w:rsidRPr="00473DD3">
        <w:rPr>
          <w:b/>
          <w:color w:val="00188F"/>
        </w:rPr>
        <w:t>:</w:t>
      </w:r>
    </w:p>
    <w:p w14:paraId="6021A567" w14:textId="54827875" w:rsidR="004005AF" w:rsidRPr="00EF7CF9" w:rsidRDefault="00380305" w:rsidP="00F01ED6">
      <w:pPr>
        <w:pStyle w:val="ProductList-Body"/>
        <w:spacing w:after="40"/>
      </w:pPr>
      <w:r>
        <w:t>“</w:t>
      </w:r>
      <w:r w:rsidR="004005AF">
        <w:rPr>
          <w:b/>
          <w:color w:val="00188F"/>
        </w:rPr>
        <w:t>Tarefas Atrasadas</w:t>
      </w:r>
      <w:r>
        <w:t>”</w:t>
      </w:r>
      <w:r w:rsidR="004005AF">
        <w:t xml:space="preserve"> designa o número total de Tarefas, para uma determinada subscrição do Microsoft Azure, que falham o início no prazo de trinta (30) minutos após as respetivas Horas de Início Planeadas.</w:t>
      </w:r>
    </w:p>
    <w:p w14:paraId="05D34F78" w14:textId="702DBA0B" w:rsidR="004005AF" w:rsidRPr="00EF7CF9" w:rsidRDefault="00380305" w:rsidP="00F01ED6">
      <w:pPr>
        <w:pStyle w:val="ProductList-Body"/>
        <w:spacing w:after="40"/>
      </w:pPr>
      <w:r>
        <w:t>“</w:t>
      </w:r>
      <w:r w:rsidR="004005AF">
        <w:rPr>
          <w:b/>
          <w:color w:val="00188F"/>
        </w:rPr>
        <w:t>Tarefa</w:t>
      </w:r>
      <w:r>
        <w:t>”</w:t>
      </w:r>
      <w:r w:rsidR="004005AF">
        <w:t xml:space="preserve"> designa a execução de um Runbook.</w:t>
      </w:r>
    </w:p>
    <w:p w14:paraId="169C5A0E" w14:textId="005C58ED" w:rsidR="004005AF" w:rsidRPr="00EF7CF9" w:rsidRDefault="00380305" w:rsidP="00F01ED6">
      <w:pPr>
        <w:pStyle w:val="ProductList-Body"/>
        <w:spacing w:after="40"/>
      </w:pPr>
      <w:r>
        <w:t>“</w:t>
      </w:r>
      <w:r w:rsidR="004005AF">
        <w:rPr>
          <w:b/>
          <w:color w:val="00188F"/>
        </w:rPr>
        <w:t>Hora de Início Planeada</w:t>
      </w:r>
      <w:r>
        <w:t>”</w:t>
      </w:r>
      <w:r w:rsidR="004005AF">
        <w:t xml:space="preserve"> é a hora a que uma Tarefa está agendada para iniciar a execução.</w:t>
      </w:r>
    </w:p>
    <w:p w14:paraId="07378C0D" w14:textId="299B28DD" w:rsidR="004005AF" w:rsidRPr="00EF7CF9" w:rsidRDefault="00380305" w:rsidP="00F01ED6">
      <w:pPr>
        <w:pStyle w:val="ProductList-Body"/>
        <w:spacing w:after="40"/>
      </w:pPr>
      <w:r>
        <w:t>“</w:t>
      </w:r>
      <w:r w:rsidR="004005AF">
        <w:rPr>
          <w:b/>
          <w:color w:val="00188F"/>
        </w:rPr>
        <w:t>Runbook</w:t>
      </w:r>
      <w:r>
        <w:t>”</w:t>
      </w:r>
      <w:r w:rsidR="004005AF">
        <w:t xml:space="preserve"> designa um conjunto de ações especificadas pelo Cliente para execução no Microsoft Azure.</w:t>
      </w:r>
    </w:p>
    <w:p w14:paraId="790494B4" w14:textId="3493257B" w:rsidR="004005AF" w:rsidRPr="00EF7CF9" w:rsidRDefault="00380305" w:rsidP="00F01ED6">
      <w:pPr>
        <w:pStyle w:val="ProductList-Body"/>
      </w:pPr>
      <w:r>
        <w:t>“</w:t>
      </w:r>
      <w:r w:rsidR="004005AF">
        <w:rPr>
          <w:b/>
          <w:color w:val="00188F"/>
        </w:rPr>
        <w:t>Total de Tarefas</w:t>
      </w:r>
      <w:r>
        <w:t>”</w:t>
      </w:r>
      <w:r w:rsidR="004005AF">
        <w:t xml:space="preserve"> é o número total de Tarefas agendadas para execução durante um determinado Período Aplicável, para uma determinada subscrição do Microsoft Azure.</w:t>
      </w:r>
    </w:p>
    <w:p w14:paraId="3FC9B042" w14:textId="3927A1A1"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77B98FD" w14:textId="77777777" w:rsidR="004005AF" w:rsidRPr="00EF7CF9" w:rsidRDefault="004005AF" w:rsidP="00F01ED6">
      <w:pPr>
        <w:pStyle w:val="ProductList-Body"/>
      </w:pPr>
    </w:p>
    <w:p w14:paraId="1BA8E08E" w14:textId="487FD9EE" w:rsidR="004005AF" w:rsidRPr="00EF7CF9" w:rsidRDefault="00000000" w:rsidP="00F01ED6">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Tarefas-Tarefas Atrasadas</m:t>
              </m:r>
            </m:num>
            <m:den>
              <m:r>
                <m:rPr>
                  <m:nor/>
                </m:rPr>
                <w:rPr>
                  <w:rFonts w:ascii="Cambria Math" w:hAnsi="Cambria Math" w:cs="Tahoma"/>
                  <w:i/>
                  <w:iCs/>
                  <w:sz w:val="18"/>
                  <w:szCs w:val="18"/>
                </w:rPr>
                <m:t>Total de Tarefas</m:t>
              </m:r>
            </m:den>
          </m:f>
          <m:r>
            <w:rPr>
              <w:rFonts w:ascii="Cambria Math" w:hAnsi="Cambria Math" w:cs="Tahoma"/>
              <w:sz w:val="18"/>
              <w:szCs w:val="18"/>
            </w:rPr>
            <m:t xml:space="preserve"> x 100</m:t>
          </m:r>
        </m:oMath>
      </m:oMathPara>
    </w:p>
    <w:p w14:paraId="38BB555E"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7326CBF"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F01ED6">
            <w:pPr>
              <w:pStyle w:val="ProductList-OfferingBody"/>
              <w:jc w:val="center"/>
            </w:pPr>
            <w:r>
              <w:t>&lt; 99,9%</w:t>
            </w:r>
          </w:p>
        </w:tc>
        <w:tc>
          <w:tcPr>
            <w:tcW w:w="5400" w:type="dxa"/>
          </w:tcPr>
          <w:p w14:paraId="703325ED" w14:textId="77777777" w:rsidR="004005AF" w:rsidRPr="00EF7CF9" w:rsidRDefault="004005AF" w:rsidP="00F01ED6">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F01ED6">
            <w:pPr>
              <w:pStyle w:val="ProductList-OfferingBody"/>
              <w:jc w:val="center"/>
            </w:pPr>
            <w:r>
              <w:t>&lt; 99%</w:t>
            </w:r>
          </w:p>
        </w:tc>
        <w:tc>
          <w:tcPr>
            <w:tcW w:w="5400" w:type="dxa"/>
          </w:tcPr>
          <w:p w14:paraId="0DB330CD" w14:textId="77777777" w:rsidR="004005AF" w:rsidRPr="00EF7CF9" w:rsidRDefault="004005AF" w:rsidP="00F01ED6">
            <w:pPr>
              <w:pStyle w:val="ProductList-OfferingBody"/>
              <w:jc w:val="center"/>
            </w:pPr>
            <w:r>
              <w:t>25%</w:t>
            </w:r>
          </w:p>
        </w:tc>
      </w:tr>
    </w:tbl>
    <w:p w14:paraId="48C02207" w14:textId="7B5D1B4E" w:rsidR="004005AF" w:rsidRDefault="004005AF" w:rsidP="00F01ED6">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Termos Adicionais</w:t>
      </w:r>
      <w:r w:rsidRPr="00473DD3">
        <w:rPr>
          <w:b/>
          <w:bCs/>
          <w:color w:val="00188F"/>
        </w:rPr>
        <w:t>:</w:t>
      </w:r>
      <w:r>
        <w:t xml:space="preserve"> Os Créditos de Serviço são aplicáveis apenas às taxas atribuíveis à utilização da funcionalidade Automatização de Processos por parte do Cliente no Serviço de Automatização.</w:t>
      </w:r>
    </w:p>
    <w:bookmarkStart w:id="150" w:name="_Toc52348942"/>
    <w:bookmarkStart w:id="151" w:name="_Toc52348924"/>
    <w:bookmarkEnd w:id="145"/>
    <w:p w14:paraId="15746A5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5C4F94" w14:textId="77777777" w:rsidR="00DE36E2" w:rsidRPr="00EF7CF9" w:rsidRDefault="00DE36E2" w:rsidP="00F01ED6">
      <w:pPr>
        <w:pStyle w:val="ProductList-Offering2Heading"/>
        <w:tabs>
          <w:tab w:val="clear" w:pos="360"/>
          <w:tab w:val="clear" w:pos="720"/>
          <w:tab w:val="clear" w:pos="1080"/>
        </w:tabs>
        <w:outlineLvl w:val="2"/>
      </w:pPr>
      <w:bookmarkStart w:id="152" w:name="_Toc182409626"/>
      <w:r>
        <w:t>Azure Backup</w:t>
      </w:r>
      <w:bookmarkEnd w:id="150"/>
      <w:bookmarkEnd w:id="152"/>
    </w:p>
    <w:p w14:paraId="57658A5A" w14:textId="77777777" w:rsidR="00DE36E2" w:rsidRPr="00EF7CF9" w:rsidRDefault="00DE36E2" w:rsidP="00F01ED6">
      <w:pPr>
        <w:pStyle w:val="ProductList-Body"/>
      </w:pPr>
      <w:r>
        <w:rPr>
          <w:b/>
          <w:color w:val="00188F"/>
        </w:rPr>
        <w:t>Definições Adicionais</w:t>
      </w:r>
      <w:r w:rsidRPr="00473DD3">
        <w:rPr>
          <w:b/>
          <w:color w:val="00188F"/>
        </w:rPr>
        <w:t>:</w:t>
      </w:r>
    </w:p>
    <w:p w14:paraId="6D798844" w14:textId="46132ECB" w:rsidR="00DE36E2" w:rsidRPr="00EF7CF9" w:rsidRDefault="00380305" w:rsidP="00F01ED6">
      <w:pPr>
        <w:pStyle w:val="ProductList-Body"/>
        <w:spacing w:after="40"/>
      </w:pPr>
      <w:r>
        <w:t>“</w:t>
      </w:r>
      <w:r w:rsidR="00DE36E2">
        <w:rPr>
          <w:b/>
          <w:color w:val="00188F"/>
        </w:rPr>
        <w:t>Cópia de Segurança</w:t>
      </w:r>
      <w:r>
        <w:t>”</w:t>
      </w:r>
      <w:r w:rsidR="00DE36E2">
        <w:t xml:space="preserve"> corresponde ao processo de cópia de dados do computador de um servidor registado para um Cofre de Cópia de Segurança.</w:t>
      </w:r>
    </w:p>
    <w:p w14:paraId="6A6D9648" w14:textId="28657451" w:rsidR="00DE36E2" w:rsidRPr="00EF7CF9" w:rsidRDefault="00380305" w:rsidP="00F01ED6">
      <w:pPr>
        <w:pStyle w:val="ProductList-Body"/>
        <w:spacing w:after="40"/>
      </w:pPr>
      <w:r>
        <w:t>“</w:t>
      </w:r>
      <w:r w:rsidR="00DE36E2">
        <w:rPr>
          <w:b/>
          <w:color w:val="00188F"/>
        </w:rPr>
        <w:t>Agente de Cópia de Segurança</w:t>
      </w:r>
      <w:r>
        <w:t>”</w:t>
      </w:r>
      <w:r w:rsidR="00DE36E2">
        <w:t xml:space="preserve"> designa o software instalado num servidor registado que permite que o servidor registado crie cópias de segurança ou restaure um ou mais Itens Protegidos.</w:t>
      </w:r>
    </w:p>
    <w:p w14:paraId="092B327C" w14:textId="3C780D2C" w:rsidR="00DE36E2" w:rsidRPr="00EF7CF9" w:rsidRDefault="00380305" w:rsidP="00F01ED6">
      <w:pPr>
        <w:pStyle w:val="ProductList-Body"/>
        <w:spacing w:after="40"/>
      </w:pPr>
      <w:r>
        <w:t>“</w:t>
      </w:r>
      <w:r w:rsidR="00DE36E2">
        <w:rPr>
          <w:b/>
          <w:color w:val="00188F"/>
        </w:rPr>
        <w:t>Cofre de Cópia de Segurança</w:t>
      </w:r>
      <w:r>
        <w:t>”</w:t>
      </w:r>
      <w:r w:rsidR="00DE36E2">
        <w:t xml:space="preserve"> designa um contentor onde o Cliente pode registar um ou mais Itens Protegidos para Cópia de Segurança.</w:t>
      </w:r>
    </w:p>
    <w:p w14:paraId="593C68DB" w14:textId="386A0A73" w:rsidR="00DE36E2" w:rsidRPr="00EF7CF9" w:rsidRDefault="00380305" w:rsidP="00F01ED6">
      <w:pPr>
        <w:pStyle w:val="ProductList-Body"/>
        <w:spacing w:after="40"/>
      </w:pPr>
      <w:r>
        <w:t>“</w:t>
      </w:r>
      <w:r w:rsidR="00DE36E2">
        <w:rPr>
          <w:b/>
          <w:color w:val="00188F"/>
        </w:rPr>
        <w:t>Falha</w:t>
      </w:r>
      <w:r>
        <w:t>”</w:t>
      </w:r>
      <w:r w:rsidR="00DE36E2">
        <w:t xml:space="preserve"> significa que o Agente de Cópia de Segurança ou o Serviço não consegue concluir na íntegra uma operação corretamente configurada de</w:t>
      </w:r>
      <w:r w:rsidR="00C07811">
        <w:t> </w:t>
      </w:r>
      <w:r w:rsidR="00DE36E2">
        <w:t>Cópia de Segurança ou Recuperação devido à indisponibilidade do Serviço de Cópia de Segurança.</w:t>
      </w:r>
    </w:p>
    <w:p w14:paraId="7D8F8108" w14:textId="7BBC99F8" w:rsidR="00DE36E2" w:rsidRPr="00EF7CF9" w:rsidRDefault="00380305" w:rsidP="00F01ED6">
      <w:pPr>
        <w:pStyle w:val="ProductList-Body"/>
        <w:spacing w:after="40"/>
      </w:pPr>
      <w:r>
        <w:t>“</w:t>
      </w:r>
      <w:r w:rsidR="00DE36E2">
        <w:rPr>
          <w:b/>
          <w:color w:val="00188F"/>
        </w:rPr>
        <w:t>Item Protegido</w:t>
      </w:r>
      <w:r>
        <w:t>”</w:t>
      </w:r>
      <w:r w:rsidR="00DE36E2">
        <w:t xml:space="preserve"> designa uma coleção de dados, tais como volume, base de dados ou máquina virtual cuja Cópia de Segurança foi agendada para</w:t>
      </w:r>
      <w:r w:rsidR="00600D36">
        <w:t> </w:t>
      </w:r>
      <w:r w:rsidR="00DE36E2">
        <w:t>o</w:t>
      </w:r>
      <w:r w:rsidR="000C03EC">
        <w:t> </w:t>
      </w:r>
      <w:r w:rsidR="00DE36E2">
        <w:t>Serviço de Cópia de Segurança para que seja enumerada como um Item Protegido no separador Itens Protegidos na secção Serviços de</w:t>
      </w:r>
      <w:r w:rsidR="00600D36">
        <w:t> </w:t>
      </w:r>
      <w:r w:rsidR="00DE36E2">
        <w:t>Recuperação do Portal de Gestão.</w:t>
      </w:r>
    </w:p>
    <w:p w14:paraId="05560A31" w14:textId="4E0A064F" w:rsidR="00DE36E2" w:rsidRPr="000C03EC" w:rsidRDefault="00380305" w:rsidP="00F01ED6">
      <w:pPr>
        <w:pStyle w:val="ProductList-Body"/>
        <w:jc w:val="both"/>
        <w:rPr>
          <w:spacing w:val="-4"/>
        </w:rPr>
      </w:pPr>
      <w:r>
        <w:rPr>
          <w:spacing w:val="-4"/>
        </w:rPr>
        <w:t>“</w:t>
      </w:r>
      <w:r w:rsidR="00DE36E2" w:rsidRPr="000C03EC">
        <w:rPr>
          <w:b/>
          <w:color w:val="00188F"/>
          <w:spacing w:val="-4"/>
        </w:rPr>
        <w:t>Recuperação</w:t>
      </w:r>
      <w:r>
        <w:rPr>
          <w:spacing w:val="-4"/>
        </w:rPr>
        <w:t>”</w:t>
      </w:r>
      <w:r w:rsidR="00DE36E2" w:rsidRPr="000C03EC">
        <w:rPr>
          <w:spacing w:val="-4"/>
        </w:rPr>
        <w:t xml:space="preserve"> ou </w:t>
      </w:r>
      <w:r>
        <w:rPr>
          <w:spacing w:val="-4"/>
        </w:rPr>
        <w:t>“</w:t>
      </w:r>
      <w:r w:rsidR="00DE36E2" w:rsidRPr="000C03EC">
        <w:rPr>
          <w:b/>
          <w:color w:val="00188F"/>
          <w:spacing w:val="-4"/>
        </w:rPr>
        <w:t>Restauro</w:t>
      </w:r>
      <w:r>
        <w:rPr>
          <w:spacing w:val="-4"/>
        </w:rPr>
        <w:t>”</w:t>
      </w:r>
      <w:r w:rsidR="00DE36E2" w:rsidRPr="000C03EC">
        <w:rPr>
          <w:spacing w:val="-4"/>
        </w:rPr>
        <w:t xml:space="preserve"> corresponde ao processo de restauro de dados do computador de um Cofre de Cópia de Segurança para um servidor registado.</w:t>
      </w:r>
    </w:p>
    <w:p w14:paraId="19753180" w14:textId="36061E88" w:rsidR="00DE36E2" w:rsidRPr="00ED4527" w:rsidRDefault="00EE6E3C" w:rsidP="00F01ED6">
      <w:pPr>
        <w:pStyle w:val="ProductList-Body"/>
        <w:spacing w:before="120"/>
        <w:rPr>
          <w:b/>
          <w:bCs/>
          <w:color w:val="00188F"/>
        </w:rPr>
      </w:pPr>
      <w:r>
        <w:rPr>
          <w:b/>
          <w:bCs/>
          <w:color w:val="00188F"/>
        </w:rPr>
        <w:t>Cálculo do Período de Disponibilidade e Níveis de Serviço para o Serviço de Cópia de Segurança</w:t>
      </w:r>
    </w:p>
    <w:p w14:paraId="3FF8AC21" w14:textId="77777777" w:rsidR="00DE36E2" w:rsidRDefault="00DE36E2" w:rsidP="00F01ED6">
      <w:pPr>
        <w:pStyle w:val="ProductList-Body"/>
        <w:rPr>
          <w:b/>
          <w:color w:val="00188F"/>
        </w:rPr>
      </w:pPr>
      <w:r>
        <w:rPr>
          <w:b/>
          <w:color w:val="00188F"/>
        </w:rPr>
        <w:t>Definições Adicionais:</w:t>
      </w:r>
    </w:p>
    <w:p w14:paraId="41F04368" w14:textId="1E6E1A0A" w:rsidR="00DE36E2" w:rsidRPr="00EF7CF9" w:rsidRDefault="00380305" w:rsidP="00F01ED6">
      <w:pPr>
        <w:pStyle w:val="ProductList-Body"/>
        <w:spacing w:after="40"/>
      </w:pPr>
      <w:r>
        <w:t>“</w:t>
      </w:r>
      <w:r w:rsidR="00DE36E2">
        <w:rPr>
          <w:b/>
          <w:color w:val="00188F"/>
        </w:rPr>
        <w:t>Minutos de Implementação</w:t>
      </w:r>
      <w:r>
        <w:t>”</w:t>
      </w:r>
      <w:r w:rsidR="00DE36E2">
        <w:t xml:space="preserve"> designa o número total de minutos no qual a Cópia de Segurança de um determinado Item Protegido foi agendada para um Cofre de Cópia de Segurança.</w:t>
      </w:r>
    </w:p>
    <w:p w14:paraId="3956C952" w14:textId="408AA7F3" w:rsidR="00DE36E2" w:rsidRPr="00EF7CF9" w:rsidRDefault="00380305" w:rsidP="00F01ED6">
      <w:pPr>
        <w:pStyle w:val="ProductList-Body"/>
        <w:spacing w:after="40"/>
      </w:pPr>
      <w:r>
        <w:t>“</w:t>
      </w:r>
      <w:r w:rsidR="00DE36E2">
        <w:rPr>
          <w:b/>
          <w:color w:val="00188F"/>
        </w:rPr>
        <w:t>Máximo de Minutos Disponíveis</w:t>
      </w:r>
      <w:r>
        <w:t>”</w:t>
      </w:r>
      <w:r w:rsidR="00DE36E2">
        <w:t xml:space="preserve"> designa a soma de todos os Minutos de Implementação em todos os Itens Protegidos numa determinada subscrição do Microsoft Azure durante um Período Aplicável.</w:t>
      </w:r>
    </w:p>
    <w:p w14:paraId="51760EC7" w14:textId="1AC33506" w:rsidR="00DE36E2" w:rsidRPr="00EF7CF9" w:rsidRDefault="00DE36E2" w:rsidP="00F01ED6">
      <w:pPr>
        <w:pStyle w:val="ProductList-Body"/>
      </w:pPr>
      <w:r>
        <w:rPr>
          <w:b/>
          <w:color w:val="00188F"/>
        </w:rPr>
        <w:t>Período de Indisponibilidade</w:t>
      </w:r>
      <w:r w:rsidRPr="00473DD3">
        <w:rPr>
          <w:b/>
          <w:color w:val="00188F"/>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w:t>
      </w:r>
      <w:r w:rsidR="0015785C">
        <w:t> </w:t>
      </w:r>
      <w:r>
        <w:t>Serviço de Cópia de Segurança é considerado indisponível para um determinado Item Protegido desde a primeira Falha na Cópia de Segurança ou</w:t>
      </w:r>
      <w:r w:rsidR="0015785C">
        <w:t> </w:t>
      </w:r>
      <w:r>
        <w:t>no Restauro do Item Protegido até à inicialização de uma Cópia de Segurança ou Restauro bem-sucedido de um Item Protegido, desde que as</w:t>
      </w:r>
      <w:r w:rsidR="0015785C">
        <w:t> </w:t>
      </w:r>
      <w:r>
        <w:t>repetições sejam tentadas continuamente com a frequência mínima de uma vez de trinta em trinta minutos.</w:t>
      </w:r>
    </w:p>
    <w:p w14:paraId="3921C6C7" w14:textId="5F46CF8F" w:rsidR="00DE36E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47D532A" w14:textId="77777777" w:rsidR="009A7BA1" w:rsidRPr="00EF7CF9" w:rsidRDefault="009A7BA1" w:rsidP="00F01ED6">
      <w:pPr>
        <w:pStyle w:val="ProductList-Body"/>
      </w:pPr>
    </w:p>
    <w:p w14:paraId="5414B8CA" w14:textId="2BB5D390" w:rsidR="00DE36E2"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A0202D6" w14:textId="77777777" w:rsidR="00DE36E2" w:rsidRPr="00EF7CF9" w:rsidRDefault="00DE36E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DDAAF" w14:textId="77777777" w:rsidR="00DE36E2" w:rsidRPr="00EF7CF9" w:rsidRDefault="00DE36E2" w:rsidP="00F01ED6">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F01ED6">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F01ED6">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F01ED6">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F01ED6">
            <w:pPr>
              <w:pStyle w:val="ProductList-OfferingBody"/>
              <w:keepNext/>
              <w:jc w:val="center"/>
            </w:pPr>
            <w:r>
              <w:t>25%</w:t>
            </w:r>
          </w:p>
        </w:tc>
      </w:tr>
    </w:tbl>
    <w:p w14:paraId="01E01A7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664F23B" w14:textId="77777777" w:rsidR="00250244" w:rsidRPr="00250244" w:rsidRDefault="00250244" w:rsidP="00F01ED6">
      <w:pPr>
        <w:pStyle w:val="ProductList-Offering2Heading"/>
        <w:keepNext/>
        <w:tabs>
          <w:tab w:val="clear" w:pos="360"/>
          <w:tab w:val="clear" w:pos="720"/>
          <w:tab w:val="clear" w:pos="1080"/>
        </w:tabs>
        <w:outlineLvl w:val="2"/>
      </w:pPr>
      <w:bookmarkStart w:id="153" w:name="_Toc182409627"/>
      <w:r>
        <w:t>Azure Bastion</w:t>
      </w:r>
      <w:bookmarkEnd w:id="153"/>
    </w:p>
    <w:p w14:paraId="0D5D41DC" w14:textId="5882362B" w:rsidR="00250244" w:rsidRPr="00250244" w:rsidRDefault="00250244" w:rsidP="00F01ED6">
      <w:pPr>
        <w:pStyle w:val="ProductList-Body"/>
        <w:rPr>
          <w:b/>
          <w:bCs/>
          <w:color w:val="00188F"/>
          <w:szCs w:val="18"/>
        </w:rPr>
      </w:pPr>
      <w:r>
        <w:rPr>
          <w:b/>
          <w:bCs/>
          <w:color w:val="00188F"/>
          <w:szCs w:val="18"/>
        </w:rPr>
        <w:t>Definições Adicionais</w:t>
      </w:r>
    </w:p>
    <w:p w14:paraId="4DB44C5E" w14:textId="1551F503" w:rsidR="00250244" w:rsidRPr="00250244" w:rsidRDefault="00EE6E3C" w:rsidP="00F01ED6">
      <w:pPr>
        <w:pStyle w:val="ProductList-Body"/>
        <w:rPr>
          <w:b/>
          <w:bCs/>
          <w:color w:val="00188F"/>
          <w:szCs w:val="18"/>
        </w:rPr>
      </w:pPr>
      <w:r>
        <w:rPr>
          <w:b/>
          <w:bCs/>
          <w:color w:val="00188F"/>
          <w:szCs w:val="18"/>
        </w:rPr>
        <w:t>Cálculo do Período de Disponibilidade</w:t>
      </w:r>
    </w:p>
    <w:p w14:paraId="18E29BE0" w14:textId="570DA8F9" w:rsidR="00250244" w:rsidRPr="00250244" w:rsidRDefault="00380305" w:rsidP="00F01ED6">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designa o total de minutos acumulados durante um Período Aplicável durante o qual um determinado cluster do Azure Bastion tenha sido implementado numa subscrição do Microsoft Azure.</w:t>
      </w:r>
    </w:p>
    <w:p w14:paraId="5620F057" w14:textId="576C63C2" w:rsidR="00250244" w:rsidRPr="00250244" w:rsidRDefault="00380305" w:rsidP="00F01ED6">
      <w:pPr>
        <w:pStyle w:val="ProductList-Body"/>
        <w:rPr>
          <w:szCs w:val="18"/>
        </w:rPr>
      </w:pPr>
      <w:r>
        <w:rPr>
          <w:szCs w:val="18"/>
        </w:rPr>
        <w:t>“</w:t>
      </w:r>
      <w:r w:rsidR="00250244">
        <w:rPr>
          <w:b/>
          <w:bCs/>
          <w:color w:val="00188F"/>
          <w:szCs w:val="18"/>
        </w:rPr>
        <w:t>Período de Indisponibilidade</w:t>
      </w:r>
      <w:r>
        <w:rPr>
          <w:szCs w:val="18"/>
        </w:rPr>
        <w:t>”</w:t>
      </w:r>
      <w:r w:rsidR="00250244">
        <w:rPr>
          <w:szCs w:val="18"/>
        </w:rPr>
        <w:t xml:space="preserve"> designa o total acumulado de Máximo de Minutos Disponíveis durante o qual um Azure Bastion está indisponível. Considera-se que um minuto está indisponível se todas as tentativas de ligação ao Azure Bastion durante esse minuto falharem.</w:t>
      </w:r>
    </w:p>
    <w:p w14:paraId="4AEDBD7A" w14:textId="15F028B8" w:rsidR="00250244" w:rsidRPr="00250244" w:rsidRDefault="00250244" w:rsidP="00F01ED6">
      <w:pPr>
        <w:pStyle w:val="ProductList-Body"/>
        <w:rPr>
          <w:szCs w:val="18"/>
        </w:rPr>
      </w:pPr>
      <w:r>
        <w:t xml:space="preserve">A </w:t>
      </w:r>
      <w:r w:rsidR="00380305">
        <w:rPr>
          <w:szCs w:val="18"/>
        </w:rPr>
        <w:t>“</w:t>
      </w:r>
      <w:r>
        <w:rPr>
          <w:b/>
          <w:bCs/>
          <w:color w:val="00188F"/>
          <w:szCs w:val="18"/>
        </w:rPr>
        <w:t>Percentagem de Período de Disponibilidade</w:t>
      </w:r>
      <w:r w:rsidR="00380305">
        <w:rPr>
          <w:szCs w:val="18"/>
        </w:rPr>
        <w:t>”</w:t>
      </w:r>
      <w:r>
        <w:rPr>
          <w:szCs w:val="18"/>
        </w:rPr>
        <w:t xml:space="preserve"> para um determinado Azure Bastion é calculada como o Máximo de Minutos Disponíveis menos o</w:t>
      </w:r>
      <w:r w:rsidR="00730C28">
        <w:rPr>
          <w:szCs w:val="18"/>
        </w:rPr>
        <w:t> </w:t>
      </w:r>
      <w:r>
        <w:rPr>
          <w:szCs w:val="18"/>
        </w:rPr>
        <w:t>Período de Indisponibilidade a dividir pelo Máximo de Minutos Disponíveis num Período Aplicável para uma determinada subscrição do Microsoft Azure. A Percentagem de Período de Disponibilidade é representada pela seguinte fórmula:</w:t>
      </w:r>
    </w:p>
    <w:p w14:paraId="65632BC7" w14:textId="77777777" w:rsidR="00250244" w:rsidRPr="00391FE2" w:rsidRDefault="00250244" w:rsidP="00F01ED6">
      <w:pPr>
        <w:pStyle w:val="ProductList-Body"/>
        <w:rPr>
          <w:sz w:val="12"/>
          <w:szCs w:val="12"/>
        </w:rPr>
      </w:pPr>
    </w:p>
    <w:p w14:paraId="28936B34" w14:textId="55A15F32" w:rsidR="00250244"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8593AE" w14:textId="77777777" w:rsidR="00250244" w:rsidRPr="00250244" w:rsidRDefault="00250244" w:rsidP="00F01ED6">
      <w:pPr>
        <w:pStyle w:val="ProductList-Body"/>
        <w:keepNext/>
        <w:rPr>
          <w:b/>
          <w:bCs/>
          <w:color w:val="00188F"/>
          <w:szCs w:val="18"/>
        </w:rPr>
      </w:pPr>
      <w:r>
        <w:rPr>
          <w:b/>
          <w:bCs/>
          <w:color w:val="00188F"/>
          <w:szCs w:val="18"/>
        </w:rPr>
        <w:t>Os seguintes Níveis de Serviço e Créditos de Serviço são aplicáveis à utilização de cada Azure Bastion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B9090F" w14:textId="77777777" w:rsidR="00250244" w:rsidRPr="00EF7CF9" w:rsidRDefault="00250244" w:rsidP="00F01ED6">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F01ED6">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F01ED6">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F01ED6">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F01ED6">
            <w:pPr>
              <w:pStyle w:val="ProductList-OfferingBody"/>
              <w:keepNext/>
              <w:jc w:val="center"/>
            </w:pPr>
            <w:r>
              <w:t>25%</w:t>
            </w:r>
          </w:p>
        </w:tc>
      </w:tr>
    </w:tbl>
    <w:bookmarkStart w:id="154" w:name="_Toc52348941"/>
    <w:p w14:paraId="2765E0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361CDC7" w14:textId="3E84EC69" w:rsidR="00EF0466" w:rsidRPr="00EF7CF9" w:rsidRDefault="00EF0466" w:rsidP="00F01ED6">
      <w:pPr>
        <w:pStyle w:val="ProductList-Offering2Heading"/>
        <w:keepNext/>
        <w:tabs>
          <w:tab w:val="clear" w:pos="360"/>
          <w:tab w:val="clear" w:pos="720"/>
          <w:tab w:val="clear" w:pos="1080"/>
        </w:tabs>
        <w:outlineLvl w:val="2"/>
      </w:pPr>
      <w:bookmarkStart w:id="155" w:name="_Toc182409628"/>
      <w:r>
        <w:t>Batch</w:t>
      </w:r>
      <w:bookmarkEnd w:id="154"/>
      <w:bookmarkEnd w:id="155"/>
    </w:p>
    <w:p w14:paraId="7A200489" w14:textId="77777777" w:rsidR="00EF0466" w:rsidRPr="00EF7CF9" w:rsidRDefault="00EF0466" w:rsidP="00F01ED6">
      <w:pPr>
        <w:pStyle w:val="ProductList-Body"/>
        <w:keepNext/>
        <w:rPr>
          <w:b/>
          <w:color w:val="00188F"/>
        </w:rPr>
      </w:pPr>
      <w:r>
        <w:rPr>
          <w:b/>
          <w:color w:val="00188F"/>
        </w:rPr>
        <w:t>Definições Adicionais</w:t>
      </w:r>
      <w:r w:rsidRPr="00473DD3">
        <w:rPr>
          <w:b/>
          <w:color w:val="00188F"/>
        </w:rPr>
        <w:t>:</w:t>
      </w:r>
    </w:p>
    <w:p w14:paraId="395AF348" w14:textId="4699FAAB" w:rsidR="00EF0466" w:rsidRPr="00EF7CF9" w:rsidRDefault="00380305" w:rsidP="00F01ED6">
      <w:pPr>
        <w:pStyle w:val="ProductList-Body"/>
        <w:spacing w:after="40"/>
      </w:pPr>
      <w:r>
        <w:t>“</w:t>
      </w:r>
      <w:r w:rsidR="00EF0466">
        <w:rPr>
          <w:b/>
          <w:color w:val="00188F"/>
        </w:rPr>
        <w:t>Taxa Média de Erros</w:t>
      </w:r>
      <w:r>
        <w:t>”</w:t>
      </w:r>
      <w:r w:rsidR="00EF0466">
        <w:t xml:space="preserve"> para um Período Aplicável designa a soma das Taxas de Erros para cada hora no Período Aplicável de faturação a dividir pelo número total de horas no Período Aplicável.</w:t>
      </w:r>
    </w:p>
    <w:p w14:paraId="7133E034" w14:textId="41B4634F" w:rsidR="00EF0466" w:rsidRPr="00EF7CF9" w:rsidRDefault="00380305" w:rsidP="00F01ED6">
      <w:pPr>
        <w:pStyle w:val="ProductList-Body"/>
      </w:pPr>
      <w:r>
        <w:t>“</w:t>
      </w:r>
      <w:r w:rsidR="00EF0466">
        <w:rPr>
          <w:b/>
          <w:color w:val="00188F"/>
        </w:rPr>
        <w:t>Taxa de Erros</w:t>
      </w:r>
      <w:r>
        <w:t>”</w:t>
      </w:r>
      <w:r w:rsidR="00EF0466">
        <w:t xml:space="preserve"> designa o número total de Pedidos com Falha a dividir pelo Total de Pedidos durante um determinado intervalo de uma hora. Se o</w:t>
      </w:r>
      <w:r w:rsidR="000D5A78">
        <w:t> </w:t>
      </w:r>
      <w:r w:rsidR="00EF0466">
        <w:t>Total de Pedidos num determinado intervalo de uma hora for zero, a Taxa de Erros para esse intervalo é de 0%.</w:t>
      </w:r>
    </w:p>
    <w:p w14:paraId="6E2D1CEE" w14:textId="368B501E" w:rsidR="00EF0466" w:rsidRPr="00EF7CF9" w:rsidRDefault="00380305" w:rsidP="00F01ED6">
      <w:pPr>
        <w:pStyle w:val="ProductList-Body"/>
        <w:spacing w:after="40"/>
      </w:pPr>
      <w:r>
        <w:t>“</w:t>
      </w:r>
      <w:r w:rsidR="00EF0466">
        <w:rPr>
          <w:b/>
          <w:color w:val="00188F"/>
        </w:rPr>
        <w:t>Pedidos Excluídos</w:t>
      </w:r>
      <w:r>
        <w:t>”</w:t>
      </w:r>
      <w:r w:rsidR="00EF0466">
        <w:t xml:space="preserve"> são pedidos que resultam num código de estado HTTP 4xx, que não um código de estado HTTP 408.</w:t>
      </w:r>
    </w:p>
    <w:p w14:paraId="53BBC1FB" w14:textId="366197A6" w:rsidR="00EF0466" w:rsidRPr="00EF7CF9" w:rsidRDefault="00380305" w:rsidP="00F01ED6">
      <w:pPr>
        <w:pStyle w:val="ProductList-Body"/>
        <w:spacing w:after="40"/>
      </w:pPr>
      <w:r>
        <w:t>“</w:t>
      </w:r>
      <w:r w:rsidR="00EF0466">
        <w:rPr>
          <w:b/>
          <w:color w:val="00188F"/>
        </w:rPr>
        <w:t>Pedidos com Falha</w:t>
      </w:r>
      <w:r>
        <w:t>”</w:t>
      </w:r>
      <w:r w:rsidR="00EF0466">
        <w:t xml:space="preserve"> é o conjunto de todos os pedidos no Total de Pedidos que devolvem um Código de Erro ou um código de estado HTTP 408 ou</w:t>
      </w:r>
      <w:r w:rsidR="0021725E">
        <w:t> </w:t>
      </w:r>
      <w:r w:rsidR="00EF0466">
        <w:t>uma falha em devolver um Código de Êxito num prazo de 5 segundos.</w:t>
      </w:r>
    </w:p>
    <w:p w14:paraId="650DAD32" w14:textId="0B7BA439" w:rsidR="00EF0466" w:rsidRPr="000C03EC" w:rsidRDefault="00380305" w:rsidP="00F01ED6">
      <w:pPr>
        <w:pStyle w:val="ProductList-Body"/>
        <w:spacing w:after="40"/>
        <w:rPr>
          <w:spacing w:val="-3"/>
        </w:rPr>
      </w:pPr>
      <w:r>
        <w:rPr>
          <w:spacing w:val="-3"/>
        </w:rPr>
        <w:t>“</w:t>
      </w:r>
      <w:r w:rsidR="00EF0466" w:rsidRPr="000C03EC">
        <w:rPr>
          <w:b/>
          <w:color w:val="00188F"/>
          <w:spacing w:val="-3"/>
        </w:rPr>
        <w:t>Total de Pedidos</w:t>
      </w:r>
      <w:r>
        <w:rPr>
          <w:spacing w:val="-3"/>
        </w:rPr>
        <w:t>”</w:t>
      </w:r>
      <w:r w:rsidR="00EF0466" w:rsidRPr="000C03EC">
        <w:rPr>
          <w:spacing w:val="-3"/>
        </w:rPr>
        <w:t xml:space="preserve"> designa o número total de pedidos de API REST autenticados, que não Pedidos Excluídos, para executar operações relativamente a</w:t>
      </w:r>
      <w:r w:rsidR="000C03EC">
        <w:rPr>
          <w:spacing w:val="-3"/>
        </w:rPr>
        <w:t> </w:t>
      </w:r>
      <w:r w:rsidR="00EF0466" w:rsidRPr="000C03EC">
        <w:rPr>
          <w:spacing w:val="-3"/>
        </w:rPr>
        <w:t>contas Batch tentados num intervalo de uma hora, no âmbito de uma determinada subscrição do Azure e durante um Período Aplicável.</w:t>
      </w:r>
    </w:p>
    <w:p w14:paraId="7EAB2ED8" w14:textId="411BF165" w:rsidR="00EF0466" w:rsidRDefault="00AC48A7" w:rsidP="00F01ED6">
      <w:pPr>
        <w:pStyle w:val="ProductList-Body"/>
      </w:pPr>
      <w:r>
        <w:rPr>
          <w:b/>
          <w:color w:val="00188F"/>
        </w:rPr>
        <w:t>Percentagem de Período de Disponibilidade</w:t>
      </w:r>
      <w:r w:rsidRPr="00473DD3">
        <w:rPr>
          <w:b/>
          <w:color w:val="00188F"/>
        </w:rPr>
        <w:t>:</w:t>
      </w:r>
      <w:r>
        <w:t xml:space="preserve"> para o Serviço Batch é calculada ao subtrair de 100% a Taxa Média de Erros para uma determinada subscrição do Microsoft Azure num Período Aplicável. A </w:t>
      </w:r>
      <w:r w:rsidR="00380305">
        <w:t>“</w:t>
      </w:r>
      <w:r>
        <w:t>Taxa Média de Erros</w:t>
      </w:r>
      <w:r w:rsidR="00380305">
        <w:t>”</w:t>
      </w:r>
      <w:r>
        <w:t xml:space="preserve"> para um Período Aplicável designa a soma das Taxas de Erros para cada hora no Período Aplicável a dividir pelo número total de horas no Período Aplicável. </w:t>
      </w:r>
    </w:p>
    <w:p w14:paraId="083113DA" w14:textId="1E983909" w:rsidR="00EF0466" w:rsidRPr="00EF7CF9" w:rsidRDefault="00AC48A7" w:rsidP="00F01ED6">
      <w:pPr>
        <w:pStyle w:val="ProductList-Body"/>
      </w:pPr>
      <w:r>
        <w:t>A Percentagem de Período de Disponibilidade é representada pela seguinte fórmula:</w:t>
      </w:r>
    </w:p>
    <w:p w14:paraId="5DD33D94" w14:textId="77777777" w:rsidR="00EF0466" w:rsidRPr="00EF7CF9" w:rsidRDefault="00EF0466" w:rsidP="00F01ED6">
      <w:pPr>
        <w:pStyle w:val="ProductList-Body"/>
      </w:pPr>
    </w:p>
    <w:p w14:paraId="0BEE3720" w14:textId="5C960296" w:rsidR="00EF0466" w:rsidRPr="00EF7CF9" w:rsidRDefault="000C03E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 de Período de Disponibilidade = 100% – Taxa Média de Erros </m:t>
          </m:r>
        </m:oMath>
      </m:oMathPara>
    </w:p>
    <w:p w14:paraId="4CC590BB" w14:textId="77777777" w:rsidR="00EF0466" w:rsidRPr="00EF7CF9" w:rsidRDefault="00EF046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7D8845" w14:textId="77777777" w:rsidR="00EF0466" w:rsidRPr="00EF7CF9" w:rsidRDefault="00EF0466" w:rsidP="00F01ED6">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F01ED6">
            <w:pPr>
              <w:pStyle w:val="ProductList-OfferingBody"/>
              <w:jc w:val="center"/>
            </w:pPr>
            <w:r>
              <w:t>&lt; 99,9%</w:t>
            </w:r>
          </w:p>
        </w:tc>
        <w:tc>
          <w:tcPr>
            <w:tcW w:w="5400" w:type="dxa"/>
          </w:tcPr>
          <w:p w14:paraId="762804D1" w14:textId="77777777" w:rsidR="00EF0466" w:rsidRPr="00EF7CF9" w:rsidRDefault="00EF0466" w:rsidP="00F01ED6">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F01ED6">
            <w:pPr>
              <w:pStyle w:val="ProductList-OfferingBody"/>
              <w:jc w:val="center"/>
            </w:pPr>
            <w:r>
              <w:t>&lt; 99%</w:t>
            </w:r>
          </w:p>
        </w:tc>
        <w:tc>
          <w:tcPr>
            <w:tcW w:w="5400" w:type="dxa"/>
          </w:tcPr>
          <w:p w14:paraId="2BE675AB" w14:textId="77777777" w:rsidR="00EF0466" w:rsidRPr="00EF7CF9" w:rsidRDefault="00EF0466" w:rsidP="00F01ED6">
            <w:pPr>
              <w:pStyle w:val="ProductList-OfferingBody"/>
              <w:jc w:val="center"/>
            </w:pPr>
            <w:r>
              <w:t>25%</w:t>
            </w:r>
          </w:p>
        </w:tc>
      </w:tr>
    </w:tbl>
    <w:bookmarkStart w:id="156" w:name="_Toc457821542"/>
    <w:bookmarkStart w:id="157" w:name="_Toc52348943"/>
    <w:p w14:paraId="48D9E67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DD5416" w14:textId="77777777" w:rsidR="00EE07E3" w:rsidRPr="00EF7CF9" w:rsidRDefault="00EE07E3" w:rsidP="00F01ED6">
      <w:pPr>
        <w:pStyle w:val="ProductList-Offering2Heading"/>
        <w:keepNext/>
        <w:tabs>
          <w:tab w:val="clear" w:pos="360"/>
          <w:tab w:val="clear" w:pos="720"/>
          <w:tab w:val="clear" w:pos="1080"/>
        </w:tabs>
        <w:outlineLvl w:val="2"/>
      </w:pPr>
      <w:bookmarkStart w:id="158" w:name="_Toc182409629"/>
      <w:r>
        <w:t>Serviços BizTalk</w:t>
      </w:r>
      <w:bookmarkEnd w:id="156"/>
      <w:bookmarkEnd w:id="157"/>
      <w:bookmarkEnd w:id="158"/>
    </w:p>
    <w:p w14:paraId="1EEF97B3" w14:textId="77777777" w:rsidR="00EE07E3" w:rsidRPr="00EF7CF9" w:rsidRDefault="00EE07E3" w:rsidP="00F01ED6">
      <w:pPr>
        <w:pStyle w:val="ProductList-Body"/>
        <w:keepNext/>
        <w:rPr>
          <w:b/>
          <w:color w:val="00188F"/>
        </w:rPr>
      </w:pPr>
      <w:r>
        <w:rPr>
          <w:b/>
          <w:color w:val="00188F"/>
        </w:rPr>
        <w:t>Definições Adicionais</w:t>
      </w:r>
      <w:r w:rsidRPr="00473DD3">
        <w:rPr>
          <w:b/>
          <w:color w:val="00188F"/>
        </w:rPr>
        <w:t>:</w:t>
      </w:r>
    </w:p>
    <w:p w14:paraId="689B8158" w14:textId="3D091B09" w:rsidR="00EE07E3" w:rsidRPr="00EF7CF9" w:rsidRDefault="00380305" w:rsidP="00F01ED6">
      <w:pPr>
        <w:pStyle w:val="ProductList-Body"/>
        <w:spacing w:after="40"/>
      </w:pPr>
      <w:r>
        <w:t>“</w:t>
      </w:r>
      <w:r w:rsidR="00EE07E3">
        <w:rPr>
          <w:b/>
          <w:color w:val="00188F"/>
        </w:rPr>
        <w:t>Ambiente de Serviço BizTalk</w:t>
      </w:r>
      <w:r>
        <w:t>”</w:t>
      </w:r>
      <w:r w:rsidR="00EE07E3">
        <w:t xml:space="preserve"> designa uma implementação dos Serviços BizTalk criados pelo Cliente, tal como representado no Portal de Gestão, para o qual o Cliente pode enviar pedidos de mensagens de runtime.</w:t>
      </w:r>
    </w:p>
    <w:p w14:paraId="30BE0C93" w14:textId="1C2E63B7" w:rsidR="00EE07E3" w:rsidRPr="00EF7CF9" w:rsidRDefault="00380305" w:rsidP="00F01ED6">
      <w:pPr>
        <w:pStyle w:val="ProductList-Body"/>
        <w:spacing w:after="40"/>
      </w:pPr>
      <w:r>
        <w:t>“</w:t>
      </w:r>
      <w:r w:rsidR="00EE07E3">
        <w:rPr>
          <w:b/>
          <w:color w:val="00188F"/>
        </w:rPr>
        <w:t>Minutos de Implementação</w:t>
      </w:r>
      <w:r>
        <w:t>”</w:t>
      </w:r>
      <w:r w:rsidR="00EE07E3">
        <w:t xml:space="preserve"> designa o número total de minutos durante os quais um determinado Ambiente de Serviço BizTalk foi implementado no Microsoft Azure durante um Período Aplicável.</w:t>
      </w:r>
    </w:p>
    <w:p w14:paraId="05F523B2" w14:textId="6DA5E29F" w:rsidR="00EE07E3" w:rsidRPr="00EF7CF9" w:rsidRDefault="00380305" w:rsidP="00F01ED6">
      <w:pPr>
        <w:pStyle w:val="ProductList-Body"/>
        <w:spacing w:after="40"/>
      </w:pPr>
      <w:r>
        <w:t>“</w:t>
      </w:r>
      <w:r w:rsidR="00EE07E3">
        <w:rPr>
          <w:b/>
          <w:color w:val="00188F"/>
        </w:rPr>
        <w:t>Máximo de Minutos Disponíveis</w:t>
      </w:r>
      <w:r>
        <w:t>”</w:t>
      </w:r>
      <w:r w:rsidR="00EE07E3">
        <w:t xml:space="preserve"> designa a soma de todos os Minutos de Implementação em todos os Ambientes de Serviço BizTalk implementados pelo Cliente numa determinada subscrição do Microsoft Azure durante um Período Aplicável.</w:t>
      </w:r>
    </w:p>
    <w:p w14:paraId="2867114C" w14:textId="22980F7C" w:rsidR="00EE07E3" w:rsidRPr="00EF7CF9" w:rsidRDefault="00380305" w:rsidP="00F01ED6">
      <w:pPr>
        <w:pStyle w:val="ProductList-Body"/>
      </w:pPr>
      <w:r>
        <w:t>“</w:t>
      </w:r>
      <w:r w:rsidR="00EE07E3">
        <w:rPr>
          <w:b/>
          <w:color w:val="00188F"/>
        </w:rPr>
        <w:t>Conta de Armazenamento de Monitorização</w:t>
      </w:r>
      <w:r>
        <w:t>”</w:t>
      </w:r>
      <w:r w:rsidR="00EE07E3">
        <w:t xml:space="preserve"> designa a conta de Armazenamento do Azure utilizada pelos Serviços BizTalk para armazenar informações de monitorização relacionadas com a execução dos Serviços BizTalk.</w:t>
      </w:r>
    </w:p>
    <w:p w14:paraId="150F5BD7" w14:textId="13DCA8FC" w:rsidR="00EE07E3" w:rsidRPr="00EF7CF9" w:rsidRDefault="00EE07E3" w:rsidP="00F01ED6">
      <w:pPr>
        <w:pStyle w:val="ProductList-Body"/>
      </w:pPr>
      <w:r>
        <w:rPr>
          <w:b/>
          <w:color w:val="00188F"/>
        </w:rPr>
        <w:t>Período de Indisponibilidade</w:t>
      </w:r>
      <w:r w:rsidRPr="00473DD3">
        <w:rPr>
          <w:b/>
          <w:color w:val="00188F"/>
        </w:rPr>
        <w:t>:</w:t>
      </w:r>
      <w:r>
        <w:t xml:space="preserve"> 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w:t>
      </w:r>
      <w:r w:rsidR="00A445EB">
        <w:t> </w:t>
      </w:r>
      <w:r>
        <w:t>Cliente e o gateway de Internet da Microsoft.</w:t>
      </w:r>
    </w:p>
    <w:p w14:paraId="094308AC" w14:textId="6B9E9816" w:rsidR="00EE07E3"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6BB05F7C" w14:textId="77777777" w:rsidR="00EE07E3" w:rsidRPr="00EF7CF9" w:rsidRDefault="00EE07E3" w:rsidP="00F01ED6">
      <w:pPr>
        <w:pStyle w:val="ProductList-Body"/>
      </w:pPr>
    </w:p>
    <w:p w14:paraId="684C104E" w14:textId="1BACD55D" w:rsidR="00EE07E3"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91A6EB5" w14:textId="77777777" w:rsidR="00EE07E3" w:rsidRPr="00EF7CF9" w:rsidRDefault="00EE07E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08E93F" w14:textId="77777777" w:rsidR="00EE07E3" w:rsidRPr="00EF7CF9" w:rsidRDefault="00EE07E3" w:rsidP="00F01ED6">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F01ED6">
            <w:pPr>
              <w:pStyle w:val="ProductList-OfferingBody"/>
              <w:jc w:val="center"/>
            </w:pPr>
            <w:r>
              <w:t>&lt; 99,9%</w:t>
            </w:r>
          </w:p>
        </w:tc>
        <w:tc>
          <w:tcPr>
            <w:tcW w:w="5400" w:type="dxa"/>
          </w:tcPr>
          <w:p w14:paraId="1A041908" w14:textId="77777777" w:rsidR="00EE07E3" w:rsidRPr="00EF7CF9" w:rsidRDefault="00EE07E3" w:rsidP="00F01ED6">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F01ED6">
            <w:pPr>
              <w:pStyle w:val="ProductList-OfferingBody"/>
              <w:jc w:val="center"/>
            </w:pPr>
            <w:r>
              <w:t>&lt; 99%</w:t>
            </w:r>
          </w:p>
        </w:tc>
        <w:tc>
          <w:tcPr>
            <w:tcW w:w="5400" w:type="dxa"/>
          </w:tcPr>
          <w:p w14:paraId="03C66756" w14:textId="77777777" w:rsidR="00EE07E3" w:rsidRPr="00EF7CF9" w:rsidRDefault="00EE07E3" w:rsidP="00F01ED6">
            <w:pPr>
              <w:pStyle w:val="ProductList-OfferingBody"/>
              <w:jc w:val="center"/>
            </w:pPr>
            <w:r>
              <w:t>25%</w:t>
            </w:r>
          </w:p>
        </w:tc>
      </w:tr>
    </w:tbl>
    <w:p w14:paraId="06B841FB" w14:textId="77777777" w:rsidR="00EE07E3" w:rsidRPr="00EF7CF9" w:rsidRDefault="00EE07E3" w:rsidP="00F01ED6">
      <w:pPr>
        <w:pStyle w:val="ProductList-Body"/>
      </w:pPr>
    </w:p>
    <w:p w14:paraId="65C7EBDC" w14:textId="4889E5B3" w:rsidR="00EE07E3" w:rsidRPr="00EF7CF9" w:rsidRDefault="00EE07E3" w:rsidP="00F01ED6">
      <w:pPr>
        <w:pStyle w:val="ProductList-Body"/>
      </w:pPr>
      <w:r>
        <w:rPr>
          <w:b/>
          <w:color w:val="00188F"/>
        </w:rPr>
        <w:t>Exceções de Nível de Serviço</w:t>
      </w:r>
      <w:r w:rsidRPr="00473DD3">
        <w:rPr>
          <w:b/>
          <w:color w:val="00188F"/>
        </w:rPr>
        <w:t>:</w:t>
      </w:r>
      <w:r>
        <w:t xml:space="preserve"> Os Níveis de Serviço e Créditos de Serviço são aplicáveis à utilização que o Cliente faz das camadas Basic, Standard e</w:t>
      </w:r>
      <w:r w:rsidR="000C03EC">
        <w:t> </w:t>
      </w:r>
      <w:r>
        <w:t>Premium dos Serviços BizTalk. A camada Developer dos Serviços BizTalk do Microsoft Azure não é abrangida por este SLA.</w:t>
      </w:r>
    </w:p>
    <w:p w14:paraId="41B0412C" w14:textId="77777777" w:rsidR="00EE07E3" w:rsidRPr="00EF7CF9" w:rsidRDefault="00EE07E3" w:rsidP="00F01ED6">
      <w:pPr>
        <w:pStyle w:val="ProductList-Body"/>
      </w:pPr>
    </w:p>
    <w:p w14:paraId="21C0FE31" w14:textId="18D36707" w:rsidR="00EE07E3" w:rsidRPr="00EF7CF9" w:rsidRDefault="00EE07E3" w:rsidP="00F01ED6">
      <w:pPr>
        <w:pStyle w:val="ProductList-Body"/>
      </w:pPr>
      <w:r>
        <w:rPr>
          <w:b/>
          <w:color w:val="00188F"/>
        </w:rPr>
        <w:t>Termos Adicionais</w:t>
      </w:r>
      <w:r w:rsidRPr="00473DD3">
        <w:rPr>
          <w:b/>
          <w:color w:val="00188F"/>
        </w:rPr>
        <w:t>:</w:t>
      </w:r>
      <w:r>
        <w:t xml:space="preserve"> Ao submeter uma reclamação, o Cliente deve assegurar que os dados de monitorização completos são mantidos na Conta de</w:t>
      </w:r>
      <w:r w:rsidR="00911DE6">
        <w:t> </w:t>
      </w:r>
      <w:r>
        <w:t>Armazenamento de Monitorização e são disponibilizados à Microsoft.</w:t>
      </w:r>
    </w:p>
    <w:p w14:paraId="7B878C8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2D0FD56" w14:textId="58C7C03A" w:rsidR="004005AF" w:rsidRPr="00EF7CF9" w:rsidRDefault="004005AF" w:rsidP="00F01ED6">
      <w:pPr>
        <w:pStyle w:val="ProductList-Offering2Heading"/>
        <w:keepNext/>
        <w:tabs>
          <w:tab w:val="clear" w:pos="360"/>
          <w:tab w:val="clear" w:pos="720"/>
          <w:tab w:val="clear" w:pos="1080"/>
        </w:tabs>
        <w:outlineLvl w:val="2"/>
      </w:pPr>
      <w:bookmarkStart w:id="159" w:name="_Toc182409630"/>
      <w:r>
        <w:t>Azure Bot Service</w:t>
      </w:r>
      <w:bookmarkEnd w:id="151"/>
      <w:bookmarkEnd w:id="159"/>
    </w:p>
    <w:bookmarkEnd w:id="146"/>
    <w:p w14:paraId="3693B18C" w14:textId="77777777" w:rsidR="004005AF" w:rsidRPr="00EF7CF9" w:rsidRDefault="004005AF" w:rsidP="00F01ED6">
      <w:pPr>
        <w:pStyle w:val="ProductList-Body"/>
      </w:pPr>
      <w:r>
        <w:rPr>
          <w:b/>
          <w:color w:val="00188F"/>
        </w:rPr>
        <w:t>Definições Adicionais</w:t>
      </w:r>
      <w:r w:rsidRPr="00473DD3">
        <w:rPr>
          <w:b/>
          <w:color w:val="00188F"/>
        </w:rPr>
        <w:t>:</w:t>
      </w:r>
    </w:p>
    <w:p w14:paraId="5B0F1183" w14:textId="0CA33336" w:rsidR="004005AF" w:rsidRPr="00EF7CF9" w:rsidRDefault="00380305" w:rsidP="00F01ED6">
      <w:pPr>
        <w:pStyle w:val="ProductList-Body"/>
        <w:spacing w:after="40"/>
      </w:pPr>
      <w:r>
        <w:t>“</w:t>
      </w:r>
      <w:r w:rsidR="004005AF">
        <w:rPr>
          <w:b/>
          <w:color w:val="00188F"/>
        </w:rPr>
        <w:t>Canal Premium do Azure Bot Service</w:t>
      </w:r>
      <w:r>
        <w:t>”</w:t>
      </w:r>
      <w:r w:rsidR="004005AF">
        <w:t xml:space="preserve"> designa um canal de Enquadramento de Bots na categoria premium.</w:t>
      </w:r>
    </w:p>
    <w:p w14:paraId="6C1FBDA2" w14:textId="25126028" w:rsidR="004005AF" w:rsidRPr="00EF7CF9" w:rsidRDefault="00380305" w:rsidP="00F01ED6">
      <w:pPr>
        <w:pStyle w:val="ProductList-Body"/>
        <w:spacing w:after="40"/>
      </w:pPr>
      <w:r>
        <w:t>“</w:t>
      </w:r>
      <w:r w:rsidR="004005AF">
        <w:rPr>
          <w:b/>
          <w:color w:val="00188F"/>
        </w:rPr>
        <w:t>Bot</w:t>
      </w:r>
      <w:r>
        <w:t>”</w:t>
      </w:r>
      <w:r w:rsidR="004005AF">
        <w:t xml:space="preserve"> é a aplicação conversacional com interface para a Internet do programador que está registada e configurada para enviar e receber mensagens do Azure Bot Service.</w:t>
      </w:r>
    </w:p>
    <w:p w14:paraId="18BAD109" w14:textId="0521861B" w:rsidR="004005AF" w:rsidRPr="00EF7CF9" w:rsidRDefault="00380305" w:rsidP="00F01ED6">
      <w:pPr>
        <w:pStyle w:val="ProductList-Body"/>
        <w:spacing w:after="40"/>
      </w:pPr>
      <w:r>
        <w:t>“</w:t>
      </w:r>
      <w:r w:rsidR="004005AF">
        <w:rPr>
          <w:b/>
          <w:color w:val="00188F"/>
        </w:rPr>
        <w:t>Bot Framework</w:t>
      </w:r>
      <w:r>
        <w:t>”</w:t>
      </w:r>
      <w:r w:rsidR="004005AF">
        <w:rPr>
          <w:b/>
        </w:rPr>
        <w:t xml:space="preserve"> </w:t>
      </w:r>
      <w:r w:rsidR="004005AF">
        <w:t>é uma plataforma para criar, ligar, testar e desenvolver bots poderosos e inteligentes.</w:t>
      </w:r>
    </w:p>
    <w:p w14:paraId="51F2105F" w14:textId="6F9B160F" w:rsidR="004005AF" w:rsidRPr="00EF7CF9" w:rsidRDefault="00380305" w:rsidP="00F01ED6">
      <w:pPr>
        <w:pStyle w:val="ProductList-Body"/>
        <w:spacing w:after="40"/>
      </w:pPr>
      <w:r>
        <w:t>“</w:t>
      </w:r>
      <w:r w:rsidR="004005AF">
        <w:rPr>
          <w:b/>
          <w:color w:val="00188F"/>
        </w:rPr>
        <w:t>Cliente</w:t>
      </w:r>
      <w:r>
        <w:t>”</w:t>
      </w:r>
      <w:r w:rsidR="004005AF">
        <w:t xml:space="preserve"> é a parte destinada ao utilizador final de um Bot</w:t>
      </w:r>
      <w:r w:rsidR="004005AF">
        <w:rPr>
          <w:rStyle w:val="CommentReference"/>
          <w:sz w:val="18"/>
          <w:szCs w:val="18"/>
        </w:rPr>
        <w:t>.</w:t>
      </w:r>
    </w:p>
    <w:p w14:paraId="4E6AFF00" w14:textId="5A0C4B43" w:rsidR="004005AF" w:rsidRPr="000C03EC" w:rsidRDefault="00380305" w:rsidP="00F01ED6">
      <w:pPr>
        <w:pStyle w:val="ProductList-Body"/>
        <w:spacing w:after="40"/>
        <w:rPr>
          <w:spacing w:val="-3"/>
        </w:rPr>
      </w:pPr>
      <w:r>
        <w:rPr>
          <w:spacing w:val="-3"/>
        </w:rPr>
        <w:t>“</w:t>
      </w:r>
      <w:r w:rsidR="004005AF" w:rsidRPr="000C03EC">
        <w:rPr>
          <w:b/>
          <w:color w:val="00188F"/>
          <w:spacing w:val="-3"/>
        </w:rPr>
        <w:t>Ponto Final de API de Canais Premium</w:t>
      </w:r>
      <w:r>
        <w:rPr>
          <w:spacing w:val="-3"/>
        </w:rPr>
        <w:t>”</w:t>
      </w:r>
      <w:r w:rsidR="004005AF" w:rsidRPr="000C03EC">
        <w:rPr>
          <w:b/>
          <w:spacing w:val="-3"/>
        </w:rPr>
        <w:t xml:space="preserve"> </w:t>
      </w:r>
      <w:r w:rsidR="004005AF" w:rsidRPr="000C03EC">
        <w:rPr>
          <w:spacing w:val="-3"/>
        </w:rPr>
        <w:t>designa um ponto final de API REST de Enquadramento de Bots para os Canais Premium do Azure Bot Service</w:t>
      </w:r>
    </w:p>
    <w:p w14:paraId="2B77F191" w14:textId="3C907779" w:rsidR="004005AF" w:rsidRDefault="00EE6E3C" w:rsidP="00F01ED6">
      <w:pPr>
        <w:pStyle w:val="ProductList-Body"/>
        <w:spacing w:before="120"/>
      </w:pPr>
      <w:r>
        <w:rPr>
          <w:b/>
          <w:color w:val="00188F"/>
        </w:rPr>
        <w:t>Cálculo do Período de Disponibilidade e Níveis de Serviço para os Canais Premium do Azure Bot Services</w:t>
      </w:r>
      <w:r w:rsidRPr="00473DD3">
        <w:rPr>
          <w:b/>
          <w:color w:val="00188F"/>
        </w:rPr>
        <w:t>:</w:t>
      </w:r>
    </w:p>
    <w:p w14:paraId="337B1E38" w14:textId="238CE7B9" w:rsidR="004005AF" w:rsidRPr="00EF7CF9" w:rsidRDefault="00380305" w:rsidP="00F01ED6">
      <w:pPr>
        <w:pStyle w:val="ProductList-Body"/>
        <w:spacing w:after="40"/>
      </w:pPr>
      <w:r>
        <w:t>“</w:t>
      </w:r>
      <w:r w:rsidR="004005AF">
        <w:rPr>
          <w:b/>
          <w:color w:val="00188F"/>
        </w:rPr>
        <w:t>Total de Pedidos de API</w:t>
      </w:r>
      <w:r>
        <w:t>”</w:t>
      </w:r>
      <w:r w:rsidR="004005AF">
        <w:rPr>
          <w:b/>
        </w:rPr>
        <w:t xml:space="preserve"> </w:t>
      </w:r>
      <w:r w:rsidR="004005AF">
        <w:t>é o número total de pedidos feitos pelo Bot ou pelo Cliente ao Ponto Final de API do Canal Premium numa determinada subscrição do Microsoft Azure durante um Período Aplicável.</w:t>
      </w:r>
    </w:p>
    <w:p w14:paraId="15431C51" w14:textId="4170C036" w:rsidR="004005AF" w:rsidRPr="00EF7CF9" w:rsidRDefault="00380305" w:rsidP="00F01ED6">
      <w:pPr>
        <w:pStyle w:val="ProductList-Body"/>
        <w:spacing w:after="40"/>
        <w:rPr>
          <w:b/>
          <w:color w:val="00188F"/>
        </w:rPr>
      </w:pPr>
      <w:r>
        <w:t>“</w:t>
      </w:r>
      <w:r w:rsidR="004005AF">
        <w:rPr>
          <w:b/>
          <w:color w:val="00188F"/>
        </w:rPr>
        <w:t>Pedidos de API com Falha</w:t>
      </w:r>
      <w:r>
        <w:t>”</w:t>
      </w:r>
      <w:r w:rsidR="004005AF">
        <w:t xml:space="preserve"> designa o número total de pedidos no Total de Pedidos de API que devolvem um Código de Erro ou não respondem em 2 minutos. </w:t>
      </w:r>
    </w:p>
    <w:p w14:paraId="4AA21E53" w14:textId="2CC94D36" w:rsidR="004005AF" w:rsidRPr="00EF7CF9" w:rsidRDefault="00380305" w:rsidP="00F01ED6">
      <w:pPr>
        <w:pStyle w:val="ProductList-Body"/>
        <w:spacing w:after="40"/>
        <w:rPr>
          <w:lang w:eastAsia="zh-TW"/>
        </w:rPr>
      </w:pPr>
      <w:r>
        <w:t>“</w:t>
      </w:r>
      <w:r w:rsidR="004005AF">
        <w:rPr>
          <w:b/>
          <w:color w:val="00188F"/>
        </w:rPr>
        <w:t>Percentagem de Período de Disponibilidade</w:t>
      </w:r>
      <w:r>
        <w:t>”</w:t>
      </w:r>
      <w:r w:rsidR="004005AF">
        <w:t xml:space="preserve"> é calculada como o Total de Pedidos de API menos os Pedidos de API com Falha a dividir pelo Total de Pedidos de API multiplicado por 100.</w:t>
      </w:r>
    </w:p>
    <w:p w14:paraId="48723A42" w14:textId="77777777" w:rsidR="004005AF" w:rsidRPr="006F3CBD" w:rsidRDefault="004005AF" w:rsidP="00F01ED6">
      <w:pPr>
        <w:pStyle w:val="ProductList-Body"/>
      </w:pPr>
    </w:p>
    <w:p w14:paraId="6131C33A" w14:textId="453EBD0A" w:rsidR="004005AF" w:rsidRPr="006F3CBD" w:rsidRDefault="00AC48A7" w:rsidP="00F01ED6">
      <w:pPr>
        <w:pStyle w:val="ProductList-Body"/>
      </w:pPr>
      <w:r>
        <w:rPr>
          <w:b/>
          <w:color w:val="00188F"/>
        </w:rPr>
        <w:t>Percentagem de Período de Disponibilidade</w:t>
      </w:r>
      <w:r w:rsidRPr="00473DD3">
        <w:rPr>
          <w:b/>
          <w:color w:val="00188F"/>
        </w:rPr>
        <w:t>:</w:t>
      </w:r>
      <w:r>
        <w:rPr>
          <w:b/>
          <w:color w:val="00188F"/>
        </w:rPr>
        <w:t xml:space="preserve"> </w:t>
      </w:r>
      <w:r>
        <w:t xml:space="preserve">A Percentagem de Período de Disponibilidade é calculada através da seguinte fórmula: </w:t>
      </w:r>
    </w:p>
    <w:p w14:paraId="4D1B6C53" w14:textId="77777777" w:rsidR="004005AF" w:rsidRPr="006F3CBD" w:rsidRDefault="004005AF" w:rsidP="00F01ED6">
      <w:pPr>
        <w:pStyle w:val="ProductList-Body"/>
      </w:pPr>
    </w:p>
    <w:p w14:paraId="30178757" w14:textId="01857468" w:rsidR="004005AF" w:rsidRPr="00EF7CF9" w:rsidRDefault="00000000" w:rsidP="00F01ED6">
      <w:pPr>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01ED6">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à utilização que o Cliente faz dos Canais Premium do Azure Bot Service.</w:t>
      </w:r>
    </w:p>
    <w:p w14:paraId="25AEB956" w14:textId="77777777" w:rsidR="004005AF" w:rsidRPr="00EF7CF9" w:rsidRDefault="004005AF" w:rsidP="00F01ED6">
      <w:pPr>
        <w:pStyle w:val="ProductList-Body"/>
      </w:pPr>
      <w:r>
        <w:rPr>
          <w:b/>
          <w:color w:val="00188F"/>
        </w:rPr>
        <w:t>Níveis de Serviço e Créditos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8109B5"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F01ED6">
            <w:pPr>
              <w:pStyle w:val="ProductList-OfferingBody"/>
              <w:jc w:val="center"/>
            </w:pPr>
            <w:r>
              <w:t>&lt; 99,9%</w:t>
            </w:r>
          </w:p>
        </w:tc>
        <w:tc>
          <w:tcPr>
            <w:tcW w:w="5400" w:type="dxa"/>
          </w:tcPr>
          <w:p w14:paraId="0251B5DD" w14:textId="77777777" w:rsidR="004005AF" w:rsidRPr="00EF7CF9" w:rsidRDefault="004005AF" w:rsidP="00F01ED6">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F01ED6">
            <w:pPr>
              <w:pStyle w:val="ProductList-OfferingBody"/>
              <w:jc w:val="center"/>
            </w:pPr>
            <w:r>
              <w:t>&lt; 99%</w:t>
            </w:r>
          </w:p>
        </w:tc>
        <w:tc>
          <w:tcPr>
            <w:tcW w:w="5400" w:type="dxa"/>
          </w:tcPr>
          <w:p w14:paraId="4CE5B321" w14:textId="77777777" w:rsidR="004005AF" w:rsidRPr="00EF7CF9" w:rsidRDefault="004005AF" w:rsidP="00F01ED6">
            <w:pPr>
              <w:pStyle w:val="ProductList-OfferingBody"/>
              <w:jc w:val="center"/>
            </w:pPr>
            <w:r>
              <w:t>25%</w:t>
            </w:r>
          </w:p>
        </w:tc>
      </w:tr>
    </w:tbl>
    <w:bookmarkStart w:id="160" w:name="_Toc457821543"/>
    <w:bookmarkStart w:id="161" w:name="_Toc52348944"/>
    <w:bookmarkStart w:id="162" w:name="_Toc513395508"/>
    <w:bookmarkStart w:id="163" w:name="_Toc52348925"/>
    <w:bookmarkStart w:id="164" w:name="_Hlk513540036"/>
    <w:p w14:paraId="7A3ACA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69CFF11" w14:textId="77777777" w:rsidR="0004685C" w:rsidRPr="00EF7CF9" w:rsidRDefault="0004685C" w:rsidP="00583D89">
      <w:pPr>
        <w:pStyle w:val="ProductList-Offering2Heading"/>
        <w:keepNext/>
        <w:keepLines/>
        <w:tabs>
          <w:tab w:val="clear" w:pos="360"/>
          <w:tab w:val="clear" w:pos="720"/>
          <w:tab w:val="clear" w:pos="1080"/>
        </w:tabs>
        <w:outlineLvl w:val="2"/>
      </w:pPr>
      <w:bookmarkStart w:id="165" w:name="_Toc182409631"/>
      <w:r>
        <w:t xml:space="preserve">Cache do Azure </w:t>
      </w:r>
      <w:bookmarkEnd w:id="160"/>
      <w:bookmarkEnd w:id="161"/>
      <w:r>
        <w:t>para Redis</w:t>
      </w:r>
      <w:bookmarkEnd w:id="165"/>
    </w:p>
    <w:p w14:paraId="2FF228B6" w14:textId="77777777" w:rsidR="0004685C" w:rsidRPr="00EF7CF9" w:rsidRDefault="0004685C" w:rsidP="00583D89">
      <w:pPr>
        <w:pStyle w:val="ProductList-Body"/>
        <w:keepNext/>
        <w:keepLines/>
        <w:rPr>
          <w:b/>
          <w:color w:val="00188F"/>
        </w:rPr>
      </w:pPr>
      <w:r>
        <w:rPr>
          <w:b/>
          <w:color w:val="00188F"/>
        </w:rPr>
        <w:t>Definições Adicionais</w:t>
      </w:r>
      <w:r w:rsidRPr="00473DD3">
        <w:rPr>
          <w:b/>
          <w:color w:val="00188F"/>
        </w:rPr>
        <w:t>:</w:t>
      </w:r>
    </w:p>
    <w:p w14:paraId="7810996B" w14:textId="64AEFA62" w:rsidR="0004685C" w:rsidRPr="00EF7CF9" w:rsidRDefault="00380305" w:rsidP="00F01ED6">
      <w:pPr>
        <w:pStyle w:val="ProductList-Body"/>
        <w:spacing w:after="40"/>
      </w:pPr>
      <w:r>
        <w:t>“</w:t>
      </w:r>
      <w:r w:rsidR="0004685C">
        <w:rPr>
          <w:b/>
          <w:color w:val="00188F"/>
        </w:rPr>
        <w:t>Cache</w:t>
      </w:r>
      <w:r>
        <w:t>”</w:t>
      </w:r>
      <w:r w:rsidR="0004685C">
        <w:t xml:space="preserve"> designa uma implementação do Serviço de Cache criado pelo Cliente, para que os respetivos Pontos Finais da Cache sejam enumerados no</w:t>
      </w:r>
      <w:r w:rsidR="0051452A">
        <w:t> </w:t>
      </w:r>
      <w:r w:rsidR="0004685C">
        <w:t>separador Cache no Portal de Gestão.</w:t>
      </w:r>
    </w:p>
    <w:p w14:paraId="2FDA8CC4" w14:textId="15C98EB6" w:rsidR="0004685C" w:rsidRPr="00EF7CF9" w:rsidRDefault="00380305" w:rsidP="00F01ED6">
      <w:pPr>
        <w:pStyle w:val="ProductList-Body"/>
        <w:spacing w:after="40"/>
      </w:pPr>
      <w:r>
        <w:t>“</w:t>
      </w:r>
      <w:r w:rsidR="0004685C">
        <w:rPr>
          <w:b/>
          <w:color w:val="00188F"/>
        </w:rPr>
        <w:t>Pontos Finais da Cache</w:t>
      </w:r>
      <w:r>
        <w:t>”</w:t>
      </w:r>
      <w:r w:rsidR="0004685C">
        <w:t xml:space="preserve"> designa os pontos finais através dos quais uma Cache pode ser acedida.</w:t>
      </w:r>
    </w:p>
    <w:p w14:paraId="6E570E72" w14:textId="3F39648E" w:rsidR="0004685C" w:rsidRPr="003D7974" w:rsidRDefault="00380305" w:rsidP="00F01ED6">
      <w:pPr>
        <w:pStyle w:val="ProductList-Body"/>
        <w:spacing w:after="40"/>
        <w:rPr>
          <w:color w:val="000000" w:themeColor="text1"/>
          <w:spacing w:val="-2"/>
        </w:rPr>
      </w:pPr>
      <w:r>
        <w:rPr>
          <w:color w:val="000000" w:themeColor="text1"/>
          <w:spacing w:val="-2"/>
        </w:rPr>
        <w:t>“</w:t>
      </w:r>
      <w:r w:rsidR="0004685C" w:rsidRPr="003D7974">
        <w:rPr>
          <w:b/>
          <w:bCs/>
          <w:color w:val="00188F"/>
          <w:spacing w:val="-2"/>
        </w:rPr>
        <w:t>Zona de Disponibilidade</w:t>
      </w:r>
      <w:r>
        <w:rPr>
          <w:color w:val="000000" w:themeColor="text1"/>
          <w:spacing w:val="-2"/>
        </w:rPr>
        <w:t>”</w:t>
      </w:r>
      <w:r w:rsidR="0004685C" w:rsidRPr="003D7974">
        <w:rPr>
          <w:color w:val="000000" w:themeColor="text1"/>
          <w:spacing w:val="-2"/>
        </w:rPr>
        <w:t xml:space="preserve"> designa uma área isolada de falhas numa região do Azure que providencia alimentação, refrigeração e rede redundantes.</w:t>
      </w:r>
    </w:p>
    <w:p w14:paraId="1CD2240D" w14:textId="43E3874B" w:rsidR="0004685C" w:rsidRPr="00ED4527" w:rsidRDefault="00EE6E3C" w:rsidP="00F01ED6">
      <w:pPr>
        <w:pStyle w:val="ProductList-Body"/>
        <w:spacing w:before="240" w:after="40"/>
        <w:rPr>
          <w:b/>
          <w:bCs/>
          <w:color w:val="00188F"/>
        </w:rPr>
      </w:pPr>
      <w:r>
        <w:rPr>
          <w:b/>
          <w:bCs/>
          <w:color w:val="00188F"/>
        </w:rPr>
        <w:t>Cálculo do Período de Disponibilidade e Níveis de Serviço para o Serviço da Cache</w:t>
      </w:r>
    </w:p>
    <w:p w14:paraId="44BDCB48" w14:textId="4B802D1B" w:rsidR="0004685C" w:rsidRPr="00EF7CF9" w:rsidRDefault="00380305" w:rsidP="00D44BDA">
      <w:pPr>
        <w:pStyle w:val="ProductList-Body"/>
      </w:pPr>
      <w:r>
        <w:t>“</w:t>
      </w:r>
      <w:r w:rsidR="0004685C">
        <w:rPr>
          <w:b/>
          <w:color w:val="00188F"/>
        </w:rPr>
        <w:t>Minutos de Implementação</w:t>
      </w:r>
      <w:r>
        <w:t>”</w:t>
      </w:r>
      <w:r w:rsidR="0004685C">
        <w:t xml:space="preserve"> designa o número total de minutos durante os quais uma determinada Cache foi implementada no Microsoft Azure durante um Período Aplicável.</w:t>
      </w:r>
    </w:p>
    <w:p w14:paraId="402C6AB7" w14:textId="62880B09" w:rsidR="0004685C" w:rsidRPr="00EF7CF9" w:rsidRDefault="00380305" w:rsidP="00D44BDA">
      <w:pPr>
        <w:pStyle w:val="ProductList-Body"/>
      </w:pPr>
      <w:r>
        <w:t>“</w:t>
      </w:r>
      <w:r w:rsidR="0004685C">
        <w:rPr>
          <w:b/>
          <w:color w:val="00188F"/>
        </w:rPr>
        <w:t>Máximo de Minutos Disponíveis</w:t>
      </w:r>
      <w:r>
        <w:t>”</w:t>
      </w:r>
      <w:r w:rsidR="0004685C">
        <w:t xml:space="preserve"> designa a soma de todos os Minutos de Implementação em todas as Caches implementadas pelo Cliente numa determinada subscrição do Microsoft Azure durante um Período Aplicável.</w:t>
      </w:r>
    </w:p>
    <w:p w14:paraId="0306B4FE" w14:textId="77777777" w:rsidR="0004685C" w:rsidRPr="003D7974" w:rsidRDefault="0004685C" w:rsidP="00F01ED6">
      <w:pPr>
        <w:pStyle w:val="ProductList-Body"/>
        <w:rPr>
          <w:spacing w:val="-2"/>
        </w:rPr>
      </w:pPr>
      <w:r w:rsidRPr="003D7974">
        <w:rPr>
          <w:b/>
          <w:color w:val="00188F"/>
          <w:spacing w:val="-2"/>
        </w:rPr>
        <w:t>Período de Indisponibilidade</w:t>
      </w:r>
      <w:r w:rsidRPr="00473DD3">
        <w:rPr>
          <w:b/>
          <w:color w:val="00188F"/>
          <w:spacing w:val="-2"/>
        </w:rPr>
        <w:t>:</w:t>
      </w:r>
      <w:r w:rsidRPr="003D7974">
        <w:rPr>
          <w:spacing w:val="-2"/>
        </w:rPr>
        <w:t xml:space="preserve"> Total de Minutos de Implementação acumulados, em todas as Caches implementadas pelo Cliente numa determinada subscrição do Microsoft Azure, no qual a Cache está indisponível. Um minuto é considerado indisponível para uma determinada Cache quando não existe nenhuma conectividade no minuto entre um ou mais Pontos Finais da Cache associados à Cache e gateway de Internet da Microsoft.</w:t>
      </w:r>
    </w:p>
    <w:p w14:paraId="335A24D4" w14:textId="45DAE971" w:rsidR="000468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27C77E4" w14:textId="2EB0031D" w:rsidR="0004685C" w:rsidRPr="00EF7CF9" w:rsidRDefault="00000000" w:rsidP="00D44BD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C1042BE" w14:textId="77777777" w:rsidR="0004685C" w:rsidRPr="00EF7CF9" w:rsidRDefault="0004685C" w:rsidP="00F01ED6">
      <w:pPr>
        <w:pStyle w:val="ProductList-Body"/>
      </w:pPr>
      <w:r w:rsidRPr="001B020C">
        <w:rPr>
          <w:b/>
          <w:color w:val="00188F"/>
        </w:rPr>
        <w:t>Os Níveis de Serviço e os Créditos de Serviço aplicáveis à utilização que o Cliente faz do Serviço de Cache variam consoante as condições e a camada de implementação do Serviço de Cache.</w:t>
      </w:r>
      <w:r>
        <w:rPr>
          <w:b/>
          <w:color w:val="00188F"/>
        </w:rPr>
        <w:t xml:space="preserve"> </w:t>
      </w:r>
      <w:r>
        <w:t>Salvo disposição em contrário prevista supra, os Níveis de Serviço e Créditos de Serviço são aplicáveis à utilização que o Cliente faz do Serviço de Cache, que inclui o Serviço Gerido de Cache do Azure para as camadas the Standard, Premium, Enterprise e Enterprise Flash do Serviço de Cache do Azure para Redis. A camada Basic da Cache do Azure Cache for Redis não é abrangida por este SLA.</w:t>
      </w:r>
    </w:p>
    <w:p w14:paraId="66DD2F7D" w14:textId="77777777" w:rsidR="0004685C" w:rsidRPr="00EF7CF9" w:rsidRDefault="0004685C" w:rsidP="00F01ED6">
      <w:pPr>
        <w:pStyle w:val="ProductList-Body"/>
        <w:spacing w:before="120"/>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965EA41"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F01ED6">
            <w:pPr>
              <w:pStyle w:val="ProductList-OfferingBody"/>
              <w:jc w:val="center"/>
            </w:pPr>
            <w:r>
              <w:t>&lt; 99,9%</w:t>
            </w:r>
          </w:p>
        </w:tc>
        <w:tc>
          <w:tcPr>
            <w:tcW w:w="5400" w:type="dxa"/>
          </w:tcPr>
          <w:p w14:paraId="1B4DF648" w14:textId="77777777" w:rsidR="0004685C" w:rsidRPr="00EF7CF9" w:rsidRDefault="0004685C" w:rsidP="00F01ED6">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F01ED6">
            <w:pPr>
              <w:pStyle w:val="ProductList-OfferingBody"/>
              <w:jc w:val="center"/>
            </w:pPr>
            <w:r>
              <w:t>&lt; 99%</w:t>
            </w:r>
          </w:p>
        </w:tc>
        <w:tc>
          <w:tcPr>
            <w:tcW w:w="5400" w:type="dxa"/>
          </w:tcPr>
          <w:p w14:paraId="05A7B2AB" w14:textId="77777777" w:rsidR="0004685C" w:rsidRPr="00EF7CF9" w:rsidRDefault="0004685C" w:rsidP="00F01ED6">
            <w:pPr>
              <w:pStyle w:val="ProductList-OfferingBody"/>
              <w:jc w:val="center"/>
            </w:pPr>
            <w:r>
              <w:t>25%</w:t>
            </w:r>
          </w:p>
        </w:tc>
      </w:tr>
    </w:tbl>
    <w:p w14:paraId="34F82DF2" w14:textId="77777777" w:rsidR="0004685C" w:rsidRPr="001B020C" w:rsidRDefault="0004685C" w:rsidP="00F01ED6">
      <w:pPr>
        <w:pStyle w:val="ProductList-Body"/>
        <w:rPr>
          <w:sz w:val="12"/>
          <w:szCs w:val="12"/>
        </w:rPr>
      </w:pPr>
    </w:p>
    <w:p w14:paraId="30076BD1" w14:textId="355065C9" w:rsidR="0004685C" w:rsidRPr="00EF7CF9" w:rsidRDefault="0004685C" w:rsidP="00F01ED6">
      <w:pPr>
        <w:pStyle w:val="ProductList-Body"/>
      </w:pPr>
      <w:r>
        <w:rPr>
          <w:b/>
          <w:color w:val="00188F"/>
        </w:rPr>
        <w:t>Para qualquer Cache da camada Enterprise ou Enterprise Flash implementada em três ou mais Zonas de Disponibilidade na mesma região do</w:t>
      </w:r>
      <w:r w:rsidR="00A64E2A">
        <w:rPr>
          <w:b/>
          <w:color w:val="00188F"/>
        </w:rPr>
        <w:t> </w:t>
      </w:r>
      <w:r>
        <w:rPr>
          <w:b/>
          <w:color w:val="00188F"/>
        </w:rPr>
        <w:t>Azure, os seguintes Níveis de Serviço e Créditos de Serviço são aplicáveis à utilização do Serviço de Cache por parte do Cliente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33E360"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F01ED6">
            <w:pPr>
              <w:pStyle w:val="ProductList-OfferingBody"/>
              <w:jc w:val="center"/>
            </w:pPr>
            <w:r>
              <w:t>&lt; 99,99%</w:t>
            </w:r>
          </w:p>
        </w:tc>
        <w:tc>
          <w:tcPr>
            <w:tcW w:w="5400" w:type="dxa"/>
          </w:tcPr>
          <w:p w14:paraId="3D567957" w14:textId="77777777" w:rsidR="0004685C" w:rsidRPr="00EF7CF9" w:rsidRDefault="0004685C" w:rsidP="00F01ED6">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F01ED6">
            <w:pPr>
              <w:pStyle w:val="ProductList-OfferingBody"/>
              <w:jc w:val="center"/>
            </w:pPr>
            <w:r>
              <w:t>&lt; 99%</w:t>
            </w:r>
          </w:p>
        </w:tc>
        <w:tc>
          <w:tcPr>
            <w:tcW w:w="5400" w:type="dxa"/>
          </w:tcPr>
          <w:p w14:paraId="320D3D52" w14:textId="77777777" w:rsidR="0004685C" w:rsidRPr="00EF7CF9" w:rsidRDefault="0004685C" w:rsidP="00F01ED6">
            <w:pPr>
              <w:pStyle w:val="ProductList-OfferingBody"/>
              <w:jc w:val="center"/>
            </w:pPr>
            <w:r>
              <w:t>25%</w:t>
            </w:r>
          </w:p>
        </w:tc>
      </w:tr>
    </w:tbl>
    <w:p w14:paraId="43BB701A" w14:textId="77777777" w:rsidR="0004685C" w:rsidRPr="001B020C" w:rsidRDefault="0004685C" w:rsidP="00F01ED6">
      <w:pPr>
        <w:pStyle w:val="ProductList-Body"/>
        <w:rPr>
          <w:sz w:val="12"/>
          <w:szCs w:val="12"/>
        </w:rPr>
      </w:pPr>
    </w:p>
    <w:p w14:paraId="08C85FED" w14:textId="77777777" w:rsidR="0004685C" w:rsidRPr="00EF7CF9" w:rsidRDefault="0004685C" w:rsidP="00F01ED6">
      <w:pPr>
        <w:pStyle w:val="ProductList-Body"/>
      </w:pPr>
      <w:r>
        <w:rPr>
          <w:b/>
          <w:color w:val="00188F"/>
        </w:rPr>
        <w:t>Para qualquer Cache da camada Enterprise e Enterprise Flash implementada (1) em pelo menos três regiões do Azure e três ou mais Zonas de Disponibilidade em cada uma destas regiões, e (2) com a georreplicação ativa ativada para todas as instâncias da Cache quando a funcionalidade de georreplicação ativa está ativada e geralmente disponível (ou seja, sem estar em pré-visualização), os seguintes Níveis de Serviço e Créditos de Serviço são aplicáveis à utilização do Serviço de Cache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71069A"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F01ED6">
            <w:pPr>
              <w:pStyle w:val="ProductList-OfferingBody"/>
              <w:jc w:val="center"/>
            </w:pPr>
            <w:r>
              <w:t>&lt; 99,999%</w:t>
            </w:r>
          </w:p>
        </w:tc>
        <w:tc>
          <w:tcPr>
            <w:tcW w:w="5400" w:type="dxa"/>
          </w:tcPr>
          <w:p w14:paraId="635F03C4" w14:textId="77777777" w:rsidR="0004685C" w:rsidRPr="00EF7CF9" w:rsidRDefault="0004685C" w:rsidP="00F01ED6">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F01ED6">
            <w:pPr>
              <w:pStyle w:val="ProductList-OfferingBody"/>
              <w:jc w:val="center"/>
            </w:pPr>
            <w:r>
              <w:t>&lt; 99%</w:t>
            </w:r>
          </w:p>
        </w:tc>
        <w:tc>
          <w:tcPr>
            <w:tcW w:w="5400" w:type="dxa"/>
          </w:tcPr>
          <w:p w14:paraId="16FB54C8" w14:textId="77777777" w:rsidR="0004685C" w:rsidRPr="00EF7CF9" w:rsidRDefault="0004685C" w:rsidP="00F01ED6">
            <w:pPr>
              <w:pStyle w:val="ProductList-OfferingBody"/>
              <w:jc w:val="center"/>
            </w:pPr>
            <w:r>
              <w:t>25%</w:t>
            </w:r>
          </w:p>
        </w:tc>
      </w:tr>
    </w:tbl>
    <w:bookmarkStart w:id="166" w:name="_Toc52348946"/>
    <w:p w14:paraId="21560E3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6419031" w14:textId="0297C897" w:rsidR="001B020C" w:rsidRDefault="00D632AD" w:rsidP="00F01ED6">
      <w:pPr>
        <w:pStyle w:val="ProductList-Offering2Heading"/>
        <w:keepNext/>
        <w:tabs>
          <w:tab w:val="clear" w:pos="360"/>
          <w:tab w:val="clear" w:pos="720"/>
          <w:tab w:val="clear" w:pos="1080"/>
        </w:tabs>
        <w:outlineLvl w:val="2"/>
      </w:pPr>
      <w:bookmarkStart w:id="167" w:name="_Toc182409632"/>
      <w:r>
        <w:t>Azure Chaos Studio</w:t>
      </w:r>
      <w:bookmarkEnd w:id="167"/>
    </w:p>
    <w:p w14:paraId="2B47694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designa o número total de minutos durante os quais uma determinada experiência do Azure Chaos Studio aplica uma ação sobre um recurso de destino no Microsoft Azure durante um Período Aplicável. Os Minutos de Ação são medidos a partir do momento em que uma experiência inicia uma ação até ao momento em que a ação foi executada durante a duração pré-configurada ou é terminada. Uma experiência pode ser composta por uma ou mais ações executadas sequencialmente ou em simultâneo.</w:t>
      </w:r>
    </w:p>
    <w:p w14:paraId="6D9E13D1"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designa a soma de todos os Minutos de Ação numa determinada subscrição do Microsoft Azure durante um Período Aplicável.</w:t>
      </w:r>
    </w:p>
    <w:p w14:paraId="646B290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sidRPr="005D3F2F">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“Período de Indisponibilidade”</w:t>
      </w:r>
      <w:r>
        <w:rPr>
          <w:rFonts w:ascii="Calibri" w:eastAsia="Calibri" w:hAnsi="Calibri" w:cs="Arial"/>
          <w:sz w:val="18"/>
          <w:bdr w:val="none" w:sz="0" w:space="0" w:color="auto" w:frame="1"/>
        </w:rPr>
        <w:t> é avaliado em intervalos de 1 minuto para cada ação que esteja ativa e é a soma de todos os Minutos de Ação numa determinada subscrição do Microsoft Azure durante um Período Aplicável, durante o qual o Chaos Studio está indisponível. Um minuto para uma determinada experiência é considerado indisponível se dentro desse intervalo de 1 minuto pelo menos um pedido de paragem dessa experiência processado pelo Chaos Studio devolve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não for processado qualquer pedido de paragem da experiência pelo Chaos Studio durante um determinado intervalo de 1 minuto, o Período de Indisponibilidade para o intervalo é assumido como 0 minutos.</w:t>
      </w:r>
    </w:p>
    <w:p w14:paraId="7E117476"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“Percentagem de Período de Disponibilidade”:</w:t>
      </w:r>
      <w:r>
        <w:rPr>
          <w:rFonts w:ascii="Calibri" w:eastAsia="Calibri" w:hAnsi="Calibri" w:cs="Arial"/>
          <w:sz w:val="18"/>
          <w:bdr w:val="none" w:sz="0" w:space="0" w:color="auto" w:frame="1"/>
        </w:rPr>
        <w:t> a Percentagem de Período de Disponibilidade é calculada com a seguinte fórmula:</w:t>
      </w:r>
    </w:p>
    <w:p w14:paraId="7EADD64A" w14:textId="77777777" w:rsidR="009E7EBB" w:rsidRPr="00BA6F19" w:rsidRDefault="009E7EBB" w:rsidP="009E7EBB">
      <w:pPr>
        <w:shd w:val="clear" w:color="auto" w:fill="FFFFFF"/>
        <w:spacing w:after="0" w:line="240" w:lineRule="auto"/>
        <w:rPr>
          <w:rFonts w:ascii="Calibri Light" w:eastAsia="Times New Roman" w:hAnsi="Calibri Light" w:cs="Calibri Light"/>
          <w:color w:val="242424"/>
          <w:sz w:val="18"/>
          <w:szCs w:val="18"/>
        </w:rPr>
      </w:pPr>
    </w:p>
    <w:p w14:paraId="6E02C5CC" w14:textId="77777777" w:rsidR="009E7EBB" w:rsidRPr="00BA6F19" w:rsidRDefault="00000000" w:rsidP="001E0CE1">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Período de Indisponibilidade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C7322C3" w14:textId="77777777" w:rsidR="001E0CE1" w:rsidRDefault="001E0CE1" w:rsidP="00E563FF">
      <w:pPr>
        <w:keepNext/>
        <w:tabs>
          <w:tab w:val="left" w:pos="360"/>
          <w:tab w:val="left" w:pos="720"/>
          <w:tab w:val="left" w:pos="1080"/>
        </w:tabs>
        <w:spacing w:after="0" w:line="240" w:lineRule="auto"/>
        <w:rPr>
          <w:b/>
          <w:color w:val="00188F"/>
          <w:sz w:val="18"/>
        </w:rPr>
      </w:pPr>
    </w:p>
    <w:p w14:paraId="7B6B191E" w14:textId="34B12F5F" w:rsidR="009E7EBB" w:rsidRPr="009E7EBB" w:rsidRDefault="009E7EBB" w:rsidP="00E563FF">
      <w:pPr>
        <w:keepNext/>
        <w:tabs>
          <w:tab w:val="left" w:pos="360"/>
          <w:tab w:val="left" w:pos="720"/>
          <w:tab w:val="left" w:pos="1080"/>
        </w:tabs>
        <w:spacing w:after="0" w:line="240" w:lineRule="auto"/>
        <w:rPr>
          <w:b/>
          <w:color w:val="00188F"/>
          <w:sz w:val="18"/>
        </w:rPr>
      </w:pPr>
      <w:r w:rsidRPr="009E7EBB">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E7EBB" w:rsidRPr="00BA6F19" w14:paraId="7B8A1A58" w14:textId="77777777" w:rsidTr="00995E56">
        <w:trPr>
          <w:tblHeader/>
        </w:trPr>
        <w:tc>
          <w:tcPr>
            <w:tcW w:w="5400" w:type="dxa"/>
            <w:shd w:val="clear" w:color="auto" w:fill="0072C6"/>
          </w:tcPr>
          <w:p w14:paraId="56AF9766"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294FF581"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9E7EBB" w:rsidRPr="00BA6F19" w14:paraId="4A8E6046" w14:textId="77777777" w:rsidTr="00995E56">
        <w:tc>
          <w:tcPr>
            <w:tcW w:w="5400" w:type="dxa"/>
          </w:tcPr>
          <w:p w14:paraId="7C21A2EB"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1740270"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7EBB" w:rsidRPr="00BA6F19" w14:paraId="3F6B2C60" w14:textId="77777777" w:rsidTr="00995E56">
        <w:tc>
          <w:tcPr>
            <w:tcW w:w="5400" w:type="dxa"/>
          </w:tcPr>
          <w:p w14:paraId="5310323F"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F648C68"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D923A5E" w14:textId="77777777" w:rsidR="009E7EBB" w:rsidRPr="00BA6F19" w:rsidRDefault="009E7EBB" w:rsidP="009E7EBB">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7868B9A2" w14:textId="77777777" w:rsidR="009A7BA1" w:rsidRDefault="009A7BA1">
      <w:pPr>
        <w:rPr>
          <w:rFonts w:asciiTheme="majorHAnsi" w:hAnsiTheme="majorHAnsi"/>
          <w:b/>
          <w:color w:val="0072C6"/>
          <w:sz w:val="28"/>
        </w:rPr>
      </w:pPr>
      <w:r>
        <w:br w:type="page"/>
      </w:r>
    </w:p>
    <w:p w14:paraId="391B251F" w14:textId="23D9DFBA" w:rsidR="00FA4844" w:rsidRPr="00EF7CF9" w:rsidRDefault="00FA4844" w:rsidP="00F01ED6">
      <w:pPr>
        <w:pStyle w:val="ProductList-Offering2Heading"/>
        <w:keepNext/>
        <w:tabs>
          <w:tab w:val="clear" w:pos="360"/>
          <w:tab w:val="clear" w:pos="720"/>
          <w:tab w:val="clear" w:pos="1080"/>
        </w:tabs>
        <w:outlineLvl w:val="2"/>
      </w:pPr>
      <w:bookmarkStart w:id="168" w:name="_Toc182409633"/>
      <w:r>
        <w:t>Serviços em Nuvem</w:t>
      </w:r>
      <w:bookmarkEnd w:id="166"/>
      <w:bookmarkEnd w:id="168"/>
    </w:p>
    <w:p w14:paraId="616BD5A6" w14:textId="77777777" w:rsidR="00FA4844" w:rsidRPr="00EF7CF9" w:rsidRDefault="00FA4844" w:rsidP="00F01ED6">
      <w:pPr>
        <w:pStyle w:val="ProductList-Body"/>
        <w:rPr>
          <w:b/>
          <w:color w:val="00188F"/>
        </w:rPr>
      </w:pPr>
      <w:r>
        <w:rPr>
          <w:b/>
          <w:color w:val="00188F"/>
        </w:rPr>
        <w:t>Definições Adicionais</w:t>
      </w:r>
      <w:r w:rsidRPr="00473DD3">
        <w:rPr>
          <w:b/>
          <w:color w:val="00188F"/>
        </w:rPr>
        <w:t>:</w:t>
      </w:r>
    </w:p>
    <w:p w14:paraId="00F034C6" w14:textId="1EE95FF0" w:rsidR="00FA4844" w:rsidRPr="00EF7CF9" w:rsidRDefault="00380305" w:rsidP="00F01ED6">
      <w:pPr>
        <w:pStyle w:val="ProductList-Body"/>
      </w:pPr>
      <w:r>
        <w:t>“</w:t>
      </w:r>
      <w:r w:rsidR="00FA4844">
        <w:rPr>
          <w:b/>
          <w:color w:val="00188F"/>
        </w:rPr>
        <w:t>Serviços em Nuvem</w:t>
      </w:r>
      <w:r>
        <w:t>”</w:t>
      </w:r>
      <w:r w:rsidR="00FA4844">
        <w:t xml:space="preserve"> designa um conjunto de recursos informáticos utilizados para Funções de Trabalho e Web.</w:t>
      </w:r>
    </w:p>
    <w:p w14:paraId="1A253FE3" w14:textId="222D50A9" w:rsidR="00FA4844" w:rsidRPr="003D7974" w:rsidRDefault="00380305" w:rsidP="00F01ED6">
      <w:pPr>
        <w:pStyle w:val="ProductList-Body"/>
        <w:rPr>
          <w:spacing w:val="-2"/>
        </w:rPr>
      </w:pPr>
      <w:r>
        <w:rPr>
          <w:spacing w:val="-2"/>
        </w:rPr>
        <w:t>“</w:t>
      </w:r>
      <w:r w:rsidR="00FA4844" w:rsidRPr="003D7974">
        <w:rPr>
          <w:b/>
          <w:color w:val="00188F"/>
          <w:spacing w:val="-2"/>
        </w:rPr>
        <w:t>Conectividade da Instância da Função</w:t>
      </w:r>
      <w:r>
        <w:rPr>
          <w:spacing w:val="-2"/>
        </w:rPr>
        <w:t>”</w:t>
      </w:r>
      <w:r w:rsidR="00FA4844" w:rsidRPr="003D7974">
        <w:rPr>
          <w:spacing w:val="-2"/>
        </w:rP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2210A489" w14:textId="7AAD6FB9" w:rsidR="00FA4844" w:rsidRPr="00EF7CF9" w:rsidRDefault="00380305" w:rsidP="00F01ED6">
      <w:pPr>
        <w:pStyle w:val="ProductList-Body"/>
      </w:pPr>
      <w:r>
        <w:t>“</w:t>
      </w:r>
      <w:r w:rsidR="00FA4844">
        <w:rPr>
          <w:b/>
          <w:color w:val="00188F"/>
        </w:rPr>
        <w:t>Inquilino</w:t>
      </w:r>
      <w:r>
        <w:t>”</w:t>
      </w:r>
      <w:r w:rsidR="00FA4844">
        <w:t xml:space="preserve"> representa uma ou mais funções que são compostas cada uma por uma ou mais instâncias de função que são implementadas num único pacote.</w:t>
      </w:r>
    </w:p>
    <w:p w14:paraId="7384DC2B" w14:textId="5C290F27" w:rsidR="00FA4844" w:rsidRPr="003D7974" w:rsidRDefault="00380305" w:rsidP="00F01ED6">
      <w:pPr>
        <w:pStyle w:val="ProductList-Body"/>
        <w:rPr>
          <w:spacing w:val="-3"/>
        </w:rPr>
      </w:pPr>
      <w:r>
        <w:rPr>
          <w:spacing w:val="-3"/>
        </w:rPr>
        <w:t>“</w:t>
      </w:r>
      <w:r w:rsidR="00FA4844" w:rsidRPr="003D7974">
        <w:rPr>
          <w:b/>
          <w:color w:val="00188F"/>
          <w:spacing w:val="-3"/>
        </w:rPr>
        <w:t>Domínio de Atualização</w:t>
      </w:r>
      <w:r>
        <w:rPr>
          <w:spacing w:val="-3"/>
        </w:rPr>
        <w:t>”</w:t>
      </w:r>
      <w:r w:rsidR="00FA4844" w:rsidRPr="003D7974">
        <w:rPr>
          <w:spacing w:val="-3"/>
        </w:rPr>
        <w:t xml:space="preserve"> designa um conjunto de instâncias do Microsoft Azure às quais as atualizações de plataforma são aplicadas simultaneamente.</w:t>
      </w:r>
    </w:p>
    <w:p w14:paraId="4AFF4F40" w14:textId="2D3BC7F1" w:rsidR="00FA4844" w:rsidRPr="00EF7CF9" w:rsidRDefault="00380305" w:rsidP="00F01ED6">
      <w:pPr>
        <w:pStyle w:val="ProductList-Body"/>
      </w:pPr>
      <w:r>
        <w:t>“</w:t>
      </w:r>
      <w:r w:rsidR="00FA4844">
        <w:rPr>
          <w:b/>
          <w:color w:val="00188F"/>
        </w:rPr>
        <w:t>Função Web</w:t>
      </w:r>
      <w:r>
        <w:t>”</w:t>
      </w:r>
      <w:r w:rsidR="00FA4844">
        <w:t xml:space="preserve"> é um componente dos Serviços em Nuvem em execução no ambiente de execução do Azure que é personalizado para a</w:t>
      </w:r>
      <w:r w:rsidR="003D7974">
        <w:t> </w:t>
      </w:r>
      <w:r w:rsidR="00FA4844">
        <w:t>programação de aplicações Web tal como suportado pelo IIS e ASP.NET.</w:t>
      </w:r>
    </w:p>
    <w:p w14:paraId="3F902297" w14:textId="2DAC0A52" w:rsidR="00FA4844" w:rsidRPr="00EF7CF9" w:rsidRDefault="00380305" w:rsidP="00F01ED6">
      <w:pPr>
        <w:pStyle w:val="ProductList-Body"/>
      </w:pPr>
      <w:r>
        <w:t>“</w:t>
      </w:r>
      <w:r w:rsidR="00FA4844">
        <w:rPr>
          <w:b/>
          <w:color w:val="00188F"/>
        </w:rPr>
        <w:t>Função de Trabalho</w:t>
      </w:r>
      <w:r>
        <w:t>”</w:t>
      </w:r>
      <w:r w:rsidR="00FA4844">
        <w:rPr>
          <w:b/>
          <w:color w:val="00188F"/>
        </w:rPr>
        <w:t xml:space="preserve"> </w:t>
      </w:r>
      <w:r w:rsidR="00FA4844">
        <w:t>é um componente dos Serviços em Nuvem em execução no ambiente de execução do Azure que é útil para o</w:t>
      </w:r>
      <w:r w:rsidR="003D7974">
        <w:t> </w:t>
      </w:r>
      <w:r w:rsidR="00FA4844">
        <w:t>desenvolvimento generalizado e pode executar um processamento de fundo para uma Função Web.</w:t>
      </w:r>
    </w:p>
    <w:p w14:paraId="6B4E981E" w14:textId="4AAE9CA8" w:rsidR="00FA4844" w:rsidRPr="00ED4527" w:rsidRDefault="00EE6E3C" w:rsidP="00F01ED6">
      <w:pPr>
        <w:pStyle w:val="ProductList-Body"/>
        <w:spacing w:before="120"/>
        <w:rPr>
          <w:b/>
          <w:bCs/>
          <w:color w:val="00188F"/>
        </w:rPr>
      </w:pPr>
      <w:r>
        <w:rPr>
          <w:b/>
          <w:bCs/>
          <w:color w:val="00188F"/>
        </w:rPr>
        <w:t>Cálculo do Período de Disponibilidade e Níveis de Serviço para os Serviços em Nuvem</w:t>
      </w:r>
    </w:p>
    <w:p w14:paraId="412EA3FF" w14:textId="4F2CA56F" w:rsidR="00FA4844" w:rsidRPr="00EF7CF9" w:rsidRDefault="00380305" w:rsidP="00F01ED6">
      <w:pPr>
        <w:pStyle w:val="ProductList-Body"/>
      </w:pPr>
      <w:r>
        <w:t>“</w:t>
      </w:r>
      <w:r w:rsidR="00FA4844">
        <w:rPr>
          <w:b/>
          <w:color w:val="00188F"/>
        </w:rPr>
        <w:t>Máximo de Minutos Disponíveis</w:t>
      </w:r>
      <w:r>
        <w:t>”</w:t>
      </w:r>
      <w:r w:rsidR="00FA4844">
        <w:t xml:space="preserve"> é o total de minutos acumulados durante um Período Aplicável para todas as funções com interface para a</w:t>
      </w:r>
      <w:r w:rsidR="00003FD2">
        <w:t> </w:t>
      </w:r>
      <w:r w:rsidR="00FA4844">
        <w:t>Internet que tenham duas ou mais instâncias implementadas em diferentes Domínios de Atualização. O Máximo de Minutos Disponíveis é</w:t>
      </w:r>
      <w:r w:rsidR="00003FD2">
        <w:t> </w:t>
      </w:r>
      <w:r w:rsidR="00FA4844">
        <w:t>calculado a partir do momento em que o Inquilino foi implementado e as respetivas funções associadas foram iniciadas como resultado da ação</w:t>
      </w:r>
      <w:r w:rsidR="00003FD2">
        <w:t> </w:t>
      </w:r>
      <w:r w:rsidR="00FA4844">
        <w:t>iniciada pelo Cliente até ao momento em que o Cliente iniciou uma ação que resultaria na interrupção ou eliminação do Inquilino.</w:t>
      </w:r>
    </w:p>
    <w:p w14:paraId="35563319" w14:textId="77777777" w:rsidR="00FA4844" w:rsidRPr="00EF7CF9" w:rsidRDefault="00FA4844" w:rsidP="00F01ED6">
      <w:pPr>
        <w:pStyle w:val="ProductList-Body"/>
      </w:pPr>
      <w:r>
        <w:rPr>
          <w:b/>
          <w:color w:val="00188F"/>
        </w:rPr>
        <w:t>Período de Indisponibilidade</w:t>
      </w:r>
      <w:r w:rsidRPr="00473DD3">
        <w:rPr>
          <w:b/>
          <w:color w:val="00188F"/>
        </w:rPr>
        <w:t>:</w:t>
      </w:r>
      <w:r>
        <w:t xml:space="preserve"> O total de minutos acumulados que fazem parte do Máximo de Minutos Disponíveis sem Conectividade da Instância da Função.</w:t>
      </w:r>
    </w:p>
    <w:p w14:paraId="46F3082B" w14:textId="3E1C36D7" w:rsidR="00FA484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representada pela seguinte fórmula:</w:t>
      </w:r>
    </w:p>
    <w:p w14:paraId="748D3B66" w14:textId="77777777" w:rsidR="00FA4844" w:rsidRPr="00EF7CF9" w:rsidRDefault="00FA4844" w:rsidP="00F01ED6">
      <w:pPr>
        <w:pStyle w:val="ProductList-Body"/>
        <w:rPr>
          <w:szCs w:val="18"/>
        </w:rPr>
      </w:pPr>
    </w:p>
    <w:p w14:paraId="692CB9D4" w14:textId="3F0D6016" w:rsidR="00FA4844" w:rsidRPr="00EF7CF9" w:rsidRDefault="003D7974" w:rsidP="00F01ED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A8F94D" w14:textId="77777777" w:rsidR="00FA4844" w:rsidRPr="00EF7CF9" w:rsidRDefault="00FA4844" w:rsidP="00F01ED6">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F01ED6">
            <w:pPr>
              <w:pStyle w:val="ProductList-OfferingBody"/>
              <w:jc w:val="center"/>
            </w:pPr>
            <w:r>
              <w:t>&lt; 99,95%</w:t>
            </w:r>
          </w:p>
        </w:tc>
        <w:tc>
          <w:tcPr>
            <w:tcW w:w="5400" w:type="dxa"/>
          </w:tcPr>
          <w:p w14:paraId="387D0A57" w14:textId="77777777" w:rsidR="00FA4844" w:rsidRPr="00EF7CF9" w:rsidRDefault="00FA4844" w:rsidP="00F01ED6">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F01ED6">
            <w:pPr>
              <w:pStyle w:val="ProductList-OfferingBody"/>
              <w:keepNext/>
              <w:jc w:val="center"/>
            </w:pPr>
            <w:r>
              <w:t>&lt; 99%</w:t>
            </w:r>
          </w:p>
        </w:tc>
        <w:tc>
          <w:tcPr>
            <w:tcW w:w="5400" w:type="dxa"/>
          </w:tcPr>
          <w:p w14:paraId="4BE2C332" w14:textId="77777777" w:rsidR="00FA4844" w:rsidRPr="00EF7CF9" w:rsidRDefault="00FA4844" w:rsidP="00F01ED6">
            <w:pPr>
              <w:pStyle w:val="ProductList-OfferingBody"/>
              <w:jc w:val="center"/>
            </w:pPr>
            <w:r>
              <w:t>25%</w:t>
            </w:r>
          </w:p>
        </w:tc>
      </w:tr>
    </w:tbl>
    <w:bookmarkStart w:id="169" w:name="_Toc52348980"/>
    <w:p w14:paraId="288F221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AE841E" w14:textId="46056045" w:rsidR="00014752" w:rsidRPr="00EF7CF9" w:rsidRDefault="00014752" w:rsidP="00F01ED6">
      <w:pPr>
        <w:pStyle w:val="ProductList-Offering2Heading"/>
        <w:keepNext/>
        <w:tabs>
          <w:tab w:val="clear" w:pos="360"/>
          <w:tab w:val="clear" w:pos="720"/>
          <w:tab w:val="clear" w:pos="1080"/>
        </w:tabs>
        <w:outlineLvl w:val="2"/>
      </w:pPr>
      <w:bookmarkStart w:id="170" w:name="_Toc182409634"/>
      <w:r>
        <w:t xml:space="preserve">Azure </w:t>
      </w:r>
      <w:r w:rsidR="009E7EBB">
        <w:t>AI</w:t>
      </w:r>
      <w:r>
        <w:t xml:space="preserve"> Search</w:t>
      </w:r>
      <w:bookmarkEnd w:id="169"/>
      <w:bookmarkEnd w:id="170"/>
    </w:p>
    <w:p w14:paraId="6A0F4491" w14:textId="77777777" w:rsidR="00014752" w:rsidRPr="00EF7CF9" w:rsidRDefault="00014752" w:rsidP="00F01ED6">
      <w:pPr>
        <w:pStyle w:val="ProductList-Body"/>
      </w:pPr>
      <w:r>
        <w:rPr>
          <w:b/>
          <w:color w:val="00188F"/>
        </w:rPr>
        <w:t>Definições Adicionais</w:t>
      </w:r>
      <w:r w:rsidRPr="00473DD3">
        <w:rPr>
          <w:b/>
          <w:color w:val="00188F"/>
        </w:rPr>
        <w:t>:</w:t>
      </w:r>
    </w:p>
    <w:p w14:paraId="66C66E6D" w14:textId="6F6EBACF" w:rsidR="00014752" w:rsidRPr="00EF7CF9" w:rsidRDefault="00014752" w:rsidP="00F01ED6">
      <w:pPr>
        <w:pStyle w:val="ProductList-Body"/>
        <w:spacing w:after="40"/>
      </w:pPr>
      <w:r>
        <w:t xml:space="preserve">A </w:t>
      </w:r>
      <w:r w:rsidR="00380305">
        <w:t>“</w:t>
      </w:r>
      <w:r>
        <w:rPr>
          <w:b/>
          <w:color w:val="00188F"/>
        </w:rPr>
        <w:t>Taxa Média de Erros</w:t>
      </w:r>
      <w:r w:rsidR="00380305">
        <w:t>”</w:t>
      </w:r>
      <w:r>
        <w:t xml:space="preserve"> para um Período Aplicável designa a soma das Taxas de Erros para cada hora no Período Aplicável a dividir pelo número total de horas no Período Aplicável.</w:t>
      </w:r>
    </w:p>
    <w:p w14:paraId="6587402F" w14:textId="7F8A1F67" w:rsidR="00014752" w:rsidRPr="00EF7CF9" w:rsidRDefault="00380305" w:rsidP="00F01ED6">
      <w:pPr>
        <w:pStyle w:val="ProductList-Body"/>
        <w:spacing w:after="40"/>
      </w:pPr>
      <w:r>
        <w:t>“</w:t>
      </w:r>
      <w:r w:rsidR="00014752">
        <w:rPr>
          <w:b/>
          <w:color w:val="00188F"/>
        </w:rPr>
        <w:t>Taxa de Erros</w:t>
      </w:r>
      <w:r>
        <w:t>”</w:t>
      </w:r>
      <w:r w:rsidR="00014752">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w:t>
      </w:r>
    </w:p>
    <w:p w14:paraId="10B63D31" w14:textId="02BE617A" w:rsidR="00014752" w:rsidRPr="00EF7CF9" w:rsidRDefault="00380305" w:rsidP="00F01ED6">
      <w:pPr>
        <w:pStyle w:val="ProductList-Body"/>
        <w:spacing w:after="40"/>
      </w:pPr>
      <w:r>
        <w:t>“</w:t>
      </w:r>
      <w:r w:rsidR="00014752">
        <w:rPr>
          <w:b/>
          <w:color w:val="00188F"/>
        </w:rPr>
        <w:t>Pedidos Excluídos</w:t>
      </w:r>
      <w:r>
        <w:t>”</w:t>
      </w:r>
      <w:r w:rsidR="00014752">
        <w:t xml:space="preserve"> são todos os pedidos limitados devido ao facto de os recursos atribuídos a uma Instância do Serviço de Pesquisa estarem esgotados, consoante indicado por um código de estado HTTP 503 e um cabeçalho de resposta a indicar que o pedido foi limitado.</w:t>
      </w:r>
    </w:p>
    <w:p w14:paraId="3A564CC7" w14:textId="408CE969" w:rsidR="00014752" w:rsidRPr="00EF7CF9" w:rsidRDefault="00380305" w:rsidP="00F01ED6">
      <w:pPr>
        <w:pStyle w:val="ProductList-Body"/>
        <w:spacing w:after="40"/>
      </w:pPr>
      <w:r>
        <w:t>“</w:t>
      </w:r>
      <w:r w:rsidR="00014752">
        <w:rPr>
          <w:b/>
          <w:color w:val="00188F"/>
        </w:rPr>
        <w:t>Pedidos com Falha</w:t>
      </w:r>
      <w:r>
        <w:t>”</w:t>
      </w:r>
      <w:r w:rsidR="00014752">
        <w:t xml:space="preserve"> é o conjunto de todos os pedidos no Total de Pedidos que não devolveram um Código de Êxito ou uma resposta HTTP 4xx.</w:t>
      </w:r>
    </w:p>
    <w:p w14:paraId="1BCC4F2E" w14:textId="6444C5CD" w:rsidR="00014752" w:rsidRPr="00EF7CF9" w:rsidRDefault="00380305" w:rsidP="00F01ED6">
      <w:pPr>
        <w:pStyle w:val="ProductList-Body"/>
        <w:spacing w:after="40"/>
      </w:pPr>
      <w:r>
        <w:t>“</w:t>
      </w:r>
      <w:r w:rsidR="00014752">
        <w:rPr>
          <w:b/>
          <w:color w:val="00188F"/>
        </w:rPr>
        <w:t>Réplica</w:t>
      </w:r>
      <w:r>
        <w:t>”</w:t>
      </w:r>
      <w:r w:rsidR="00014752">
        <w:t xml:space="preserve"> é uma cópia de um índice de pesquisa numa Instância do Serviço de Pesquisa.</w:t>
      </w:r>
    </w:p>
    <w:p w14:paraId="080645DF" w14:textId="426F50C6" w:rsidR="00014752" w:rsidRPr="00EF7CF9" w:rsidRDefault="00380305" w:rsidP="00F01ED6">
      <w:pPr>
        <w:pStyle w:val="ProductList-Body"/>
        <w:spacing w:after="40"/>
      </w:pPr>
      <w:r>
        <w:t>“</w:t>
      </w:r>
      <w:r w:rsidR="00014752">
        <w:rPr>
          <w:b/>
          <w:color w:val="00188F"/>
        </w:rPr>
        <w:t>Instância do Serviço de Pesquisa</w:t>
      </w:r>
      <w:r>
        <w:t>”</w:t>
      </w:r>
      <w:r w:rsidR="00014752">
        <w:t xml:space="preserve"> é uma instância do serviço de Pesquisa do Azure que contém um ou mais índices de pesquisa.</w:t>
      </w:r>
    </w:p>
    <w:p w14:paraId="73B32B4A" w14:textId="168B567B" w:rsidR="00014752" w:rsidRPr="00EF7CF9" w:rsidRDefault="00380305" w:rsidP="00F01ED6">
      <w:pPr>
        <w:pStyle w:val="ProductList-Body"/>
      </w:pPr>
      <w:r>
        <w:t>“</w:t>
      </w:r>
      <w:r w:rsidR="00014752">
        <w:rPr>
          <w:b/>
          <w:color w:val="00188F"/>
        </w:rPr>
        <w:t>Total de Pedidos</w:t>
      </w:r>
      <w:r>
        <w:t>”</w:t>
      </w:r>
      <w:r w:rsidR="00014752">
        <w:t xml:space="preserve"> é o conjunto de (i) todos os pedidos para atualizar uma Instância do Serviço de Pesquisa com três ou mais Réplicas, mais (ii)</w:t>
      </w:r>
      <w:r w:rsidR="00922AE7">
        <w:t> </w:t>
      </w:r>
      <w:r w:rsidR="00014752">
        <w:t>todos os pedidos de consulta de uma Instância do Serviço de Pesquisa com duas ou mais Réplicas, que não os Pedidos Excluídos, no intervalo de</w:t>
      </w:r>
      <w:r w:rsidR="00922AE7">
        <w:t> </w:t>
      </w:r>
      <w:r w:rsidR="00014752">
        <w:t>uma hora numa determinada subscrição do Azure durante um Período Aplicável.</w:t>
      </w:r>
    </w:p>
    <w:p w14:paraId="376FF54B" w14:textId="29E324F0" w:rsidR="00014752" w:rsidRDefault="00AC48A7" w:rsidP="00F01ED6">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D22056D" w14:textId="77777777" w:rsidR="00014752" w:rsidRPr="00EF7CF9" w:rsidRDefault="00014752" w:rsidP="00F01ED6">
      <w:pPr>
        <w:pStyle w:val="ProductList-Body"/>
        <w:keepNext/>
        <w:keepLines/>
      </w:pPr>
    </w:p>
    <w:p w14:paraId="7D3715DD" w14:textId="4B47E133" w:rsidR="00014752" w:rsidRPr="008216E6" w:rsidRDefault="003D7974" w:rsidP="00F01ED6">
      <w:pPr>
        <w:keepNext/>
        <w:keepLines/>
        <w:spacing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C2957C8" w14:textId="77777777" w:rsidR="00014752" w:rsidRPr="00EF7CF9" w:rsidRDefault="00014752" w:rsidP="00F01ED6">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F01ED6">
            <w:pPr>
              <w:pStyle w:val="ProductList-OfferingBody"/>
              <w:jc w:val="center"/>
            </w:pPr>
            <w:r>
              <w:t>&lt; 99,9%</w:t>
            </w:r>
          </w:p>
        </w:tc>
        <w:tc>
          <w:tcPr>
            <w:tcW w:w="5400" w:type="dxa"/>
          </w:tcPr>
          <w:p w14:paraId="6E789323" w14:textId="77777777" w:rsidR="00014752" w:rsidRPr="00EF7CF9" w:rsidRDefault="00014752" w:rsidP="00F01ED6">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F01ED6">
            <w:pPr>
              <w:pStyle w:val="ProductList-OfferingBody"/>
              <w:jc w:val="center"/>
            </w:pPr>
            <w:r>
              <w:t>&lt; 99%</w:t>
            </w:r>
          </w:p>
        </w:tc>
        <w:tc>
          <w:tcPr>
            <w:tcW w:w="5400" w:type="dxa"/>
          </w:tcPr>
          <w:p w14:paraId="63670124" w14:textId="77777777" w:rsidR="00014752" w:rsidRPr="00EF7CF9" w:rsidRDefault="00014752" w:rsidP="00F01ED6">
            <w:pPr>
              <w:pStyle w:val="ProductList-OfferingBody"/>
              <w:jc w:val="center"/>
            </w:pPr>
            <w:r>
              <w:t>25%</w:t>
            </w:r>
          </w:p>
        </w:tc>
      </w:tr>
    </w:tbl>
    <w:bookmarkStart w:id="171" w:name="_Toc468346589"/>
    <w:bookmarkStart w:id="172" w:name="MicrosoftCognitiveServices"/>
    <w:bookmarkStart w:id="173" w:name="_Toc52348972"/>
    <w:p w14:paraId="43E9E803"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78A19B" w14:textId="77777777" w:rsidR="00FE45CF" w:rsidRPr="00EF7CF9" w:rsidRDefault="00FE45CF" w:rsidP="00F01ED6">
      <w:pPr>
        <w:pStyle w:val="ProductList-Offering2Heading"/>
        <w:keepNext/>
        <w:tabs>
          <w:tab w:val="clear" w:pos="360"/>
          <w:tab w:val="clear" w:pos="720"/>
          <w:tab w:val="clear" w:pos="1080"/>
        </w:tabs>
        <w:spacing w:before="0" w:after="0"/>
        <w:outlineLvl w:val="2"/>
      </w:pPr>
      <w:bookmarkStart w:id="174" w:name="_Toc182409635"/>
      <w:r>
        <w:t>Serviços Cognitivos Azure</w:t>
      </w:r>
      <w:bookmarkEnd w:id="171"/>
      <w:bookmarkEnd w:id="172"/>
      <w:bookmarkEnd w:id="173"/>
      <w:bookmarkEnd w:id="174"/>
    </w:p>
    <w:p w14:paraId="42DC8CF4" w14:textId="77777777" w:rsidR="00FE45CF" w:rsidRPr="008E7C1C" w:rsidRDefault="00FE45CF" w:rsidP="00F01ED6">
      <w:pPr>
        <w:pStyle w:val="ProductList-Body"/>
        <w:rPr>
          <w:szCs w:val="18"/>
        </w:rPr>
      </w:pPr>
      <w:r w:rsidRPr="008E7C1C">
        <w:rPr>
          <w:b/>
          <w:color w:val="00188F"/>
          <w:szCs w:val="18"/>
        </w:rPr>
        <w:t>Definições Adicionais</w:t>
      </w:r>
      <w:r w:rsidRPr="00473DD3">
        <w:rPr>
          <w:b/>
          <w:color w:val="00188F"/>
          <w:szCs w:val="18"/>
        </w:rPr>
        <w:t>:</w:t>
      </w:r>
    </w:p>
    <w:p w14:paraId="221837B9" w14:textId="4017D96E" w:rsidR="00FE45CF" w:rsidRPr="008E7C1C" w:rsidRDefault="00380305" w:rsidP="00F01ED6">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sidRPr="008E7C1C">
        <w:rPr>
          <w:rFonts w:asciiTheme="minorHAnsi" w:eastAsiaTheme="minorHAnsi" w:hAnsiTheme="minorHAnsi" w:cstheme="minorBidi"/>
          <w:b/>
          <w:color w:val="00188F"/>
          <w:sz w:val="18"/>
          <w:szCs w:val="18"/>
        </w:rPr>
        <w:t>Total de Tentativas de Transação</w:t>
      </w:r>
      <w:r>
        <w:rPr>
          <w:rFonts w:asciiTheme="minorHAnsi" w:eastAsiaTheme="minorHAnsi" w:hAnsiTheme="minorHAnsi" w:cstheme="minorBidi"/>
          <w:sz w:val="18"/>
          <w:szCs w:val="18"/>
        </w:rPr>
        <w:t>”</w:t>
      </w:r>
      <w:r w:rsidR="00FE45CF" w:rsidRPr="008E7C1C">
        <w:rPr>
          <w:rFonts w:ascii="Calibri" w:hAnsi="Calibri"/>
          <w:sz w:val="18"/>
          <w:szCs w:val="18"/>
        </w:rPr>
        <w:t xml:space="preserve"> </w:t>
      </w:r>
      <w:r w:rsidR="00FE45CF" w:rsidRPr="008E7C1C">
        <w:rPr>
          <w:rFonts w:asciiTheme="minorHAnsi" w:eastAsiaTheme="minorHAnsi" w:hAnsiTheme="minorHAnsi" w:cstheme="minorBidi"/>
          <w:sz w:val="18"/>
          <w:szCs w:val="18"/>
        </w:rPr>
        <w:t>é o número total de pedidos da API autenticados efetuado pelo Cliente durante um Período Aplicável para uma</w:t>
      </w:r>
      <w:r w:rsidR="00F905DC">
        <w:rPr>
          <w:rFonts w:asciiTheme="minorHAnsi" w:eastAsiaTheme="minorHAnsi" w:hAnsiTheme="minorHAnsi" w:cstheme="minorBidi"/>
          <w:sz w:val="18"/>
          <w:szCs w:val="18"/>
        </w:rPr>
        <w:t> </w:t>
      </w:r>
      <w:r w:rsidR="00FE45CF" w:rsidRPr="008E7C1C">
        <w:rPr>
          <w:rFonts w:asciiTheme="minorHAnsi" w:eastAsiaTheme="minorHAnsi" w:hAnsiTheme="minorHAnsi" w:cstheme="minorBidi"/>
          <w:sz w:val="18"/>
          <w:szCs w:val="18"/>
        </w:rPr>
        <w:t>determinada API Serviço Cognitivo. O Total de Tentativas de Transação não inclui os pedidos de API que devolvem um Código de Erro e que são repetidos continuamente num intervalo de cinco minutos após a receção do primeiro Código de Erro.</w:t>
      </w:r>
    </w:p>
    <w:p w14:paraId="161E67D6" w14:textId="11A6952B" w:rsidR="00FE45CF" w:rsidRPr="008E7C1C" w:rsidRDefault="00380305" w:rsidP="00F01ED6">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sidRPr="008E7C1C">
        <w:rPr>
          <w:rFonts w:asciiTheme="minorHAnsi" w:eastAsiaTheme="minorHAnsi" w:hAnsiTheme="minorHAnsi" w:cstheme="minorBidi"/>
          <w:b/>
          <w:color w:val="00188F"/>
          <w:sz w:val="18"/>
          <w:szCs w:val="18"/>
        </w:rPr>
        <w:t>Transações com Falha</w:t>
      </w:r>
      <w:r>
        <w:rPr>
          <w:rFonts w:asciiTheme="minorHAnsi" w:eastAsiaTheme="minorHAnsi" w:hAnsiTheme="minorHAnsi" w:cstheme="minorBidi"/>
          <w:sz w:val="18"/>
          <w:szCs w:val="18"/>
        </w:rPr>
        <w:t>”</w:t>
      </w:r>
      <w:r w:rsidR="00FE45CF" w:rsidRPr="008E7C1C">
        <w:rPr>
          <w:rFonts w:ascii="Calibri" w:hAnsi="Calibri"/>
          <w:sz w:val="18"/>
          <w:szCs w:val="18"/>
        </w:rPr>
        <w:t xml:space="preserve"> </w:t>
      </w:r>
      <w:r w:rsidR="00FE45CF" w:rsidRPr="008E7C1C">
        <w:rPr>
          <w:rFonts w:asciiTheme="minorHAnsi" w:eastAsiaTheme="minorHAnsi" w:hAnsiTheme="minorHAnsi" w:cstheme="minorBidi"/>
          <w:sz w:val="18"/>
          <w:szCs w:val="18"/>
        </w:rPr>
        <w:t>é o conjunto de todos os pedidos para a API Serviços Cognitivos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495DFC0F" w14:textId="55DB2555" w:rsidR="00FE45CF" w:rsidRPr="008E7C1C" w:rsidRDefault="00FE45CF" w:rsidP="00F01ED6">
      <w:pPr>
        <w:pStyle w:val="NormalWeb"/>
        <w:spacing w:before="0" w:beforeAutospacing="0" w:after="0" w:afterAutospacing="0"/>
        <w:rPr>
          <w:rFonts w:asciiTheme="minorHAnsi" w:eastAsiaTheme="minorHAnsi" w:hAnsiTheme="minorHAnsi" w:cstheme="minorHAnsi"/>
          <w:sz w:val="18"/>
          <w:szCs w:val="18"/>
        </w:rPr>
      </w:pPr>
      <w:r w:rsidRPr="008E7C1C">
        <w:rPr>
          <w:rFonts w:asciiTheme="minorHAnsi" w:hAnsiTheme="minorHAnsi" w:cstheme="minorHAnsi"/>
          <w:sz w:val="18"/>
          <w:szCs w:val="18"/>
        </w:rPr>
        <w:t xml:space="preserve">A </w:t>
      </w:r>
      <w:r w:rsidR="00380305">
        <w:rPr>
          <w:rFonts w:asciiTheme="minorHAnsi" w:eastAsiaTheme="minorHAnsi" w:hAnsiTheme="minorHAnsi" w:cstheme="minorHAnsi"/>
          <w:sz w:val="18"/>
          <w:szCs w:val="18"/>
        </w:rPr>
        <w:t>“</w:t>
      </w:r>
      <w:r w:rsidRPr="008E7C1C">
        <w:rPr>
          <w:rFonts w:asciiTheme="minorHAnsi" w:eastAsiaTheme="minorHAnsi" w:hAnsiTheme="minorHAnsi" w:cstheme="minorHAnsi"/>
          <w:b/>
          <w:color w:val="00188F"/>
          <w:sz w:val="18"/>
          <w:szCs w:val="18"/>
        </w:rPr>
        <w:t>Percentagem de Período de Disponibilidade</w:t>
      </w:r>
      <w:r w:rsidR="00380305">
        <w:rPr>
          <w:rFonts w:asciiTheme="minorHAnsi" w:eastAsiaTheme="minorHAnsi" w:hAnsiTheme="minorHAnsi" w:cstheme="minorHAnsi"/>
          <w:sz w:val="18"/>
          <w:szCs w:val="18"/>
        </w:rPr>
        <w:t>”</w:t>
      </w:r>
      <w:r w:rsidRPr="008E7C1C">
        <w:rPr>
          <w:rFonts w:asciiTheme="minorHAnsi" w:hAnsiTheme="minorHAnsi" w:cstheme="minorHAnsi"/>
          <w:sz w:val="18"/>
          <w:szCs w:val="18"/>
        </w:rPr>
        <w:t xml:space="preserve"> </w:t>
      </w:r>
      <w:r w:rsidRPr="008E7C1C">
        <w:rPr>
          <w:rFonts w:asciiTheme="minorHAnsi" w:eastAsiaTheme="minorHAnsi" w:hAnsiTheme="minorHAnsi" w:cstheme="minorHAnsi"/>
          <w:sz w:val="18"/>
          <w:szCs w:val="18"/>
        </w:rPr>
        <w:t xml:space="preserve">para cada Serviço da API é calculada como o Total de Tentativas de Transação menos as Transações com Falha dividido pelo Total de Tentativas de Transação num Período Aplicável para uma determinada subscrição da API. </w:t>
      </w:r>
    </w:p>
    <w:p w14:paraId="359B9A6D" w14:textId="4DDABF33" w:rsidR="00FE45CF" w:rsidRPr="008E7C1C" w:rsidRDefault="00AC48A7" w:rsidP="00F01ED6">
      <w:pPr>
        <w:pStyle w:val="NormalWeb"/>
        <w:spacing w:before="0" w:beforeAutospacing="0" w:after="0" w:afterAutospacing="0"/>
        <w:rPr>
          <w:rFonts w:asciiTheme="minorHAnsi" w:hAnsiTheme="minorHAnsi" w:cstheme="minorHAnsi"/>
          <w:sz w:val="18"/>
          <w:szCs w:val="18"/>
        </w:rPr>
      </w:pPr>
      <w:r w:rsidRPr="008E7C1C">
        <w:rPr>
          <w:rFonts w:asciiTheme="minorHAnsi" w:eastAsiaTheme="minorHAnsi" w:hAnsiTheme="minorHAnsi" w:cstheme="minorHAnsi"/>
          <w:sz w:val="18"/>
          <w:szCs w:val="18"/>
        </w:rPr>
        <w:t>A Percentagem de Período de Disponibilidade é representada pela seguinte fórmula</w:t>
      </w:r>
      <w:r w:rsidRPr="00473DD3">
        <w:rPr>
          <w:rFonts w:asciiTheme="minorHAnsi" w:eastAsiaTheme="minorHAnsi" w:hAnsiTheme="minorHAnsi" w:cstheme="minorHAnsi"/>
          <w:sz w:val="18"/>
          <w:szCs w:val="18"/>
        </w:rPr>
        <w:t>:</w:t>
      </w:r>
    </w:p>
    <w:p w14:paraId="2D800C4F" w14:textId="77777777" w:rsidR="00FE45CF" w:rsidRPr="00EF7CF9" w:rsidRDefault="00FE45CF" w:rsidP="00F01ED6">
      <w:pPr>
        <w:pStyle w:val="ProductList-Body"/>
      </w:pPr>
    </w:p>
    <w:p w14:paraId="2464FBD5" w14:textId="6F4C51D6" w:rsidR="00FE45CF" w:rsidRPr="00EF7CF9" w:rsidRDefault="008E7C1C"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01ED6">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Crédito de Serviço</w:t>
      </w:r>
    </w:p>
    <w:p w14:paraId="010D099D" w14:textId="5DD16423" w:rsidR="00FE45CF" w:rsidRPr="00EF7CF9" w:rsidRDefault="00FE45CF" w:rsidP="00F01ED6">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Os seguintes Níveis de Serviço e Créditos de Serviço são aplicáveis às APIs dos Serviços Cognitivas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391FE2">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37613" w14:textId="77777777" w:rsidR="00FE45CF" w:rsidRPr="00EF7CF9" w:rsidRDefault="00FE45CF" w:rsidP="00391FE2">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391FE2">
            <w:pPr>
              <w:pStyle w:val="ProductList-OfferingBody"/>
              <w:jc w:val="center"/>
            </w:pPr>
            <w:r>
              <w:t>&lt; 99,9%</w:t>
            </w:r>
          </w:p>
        </w:tc>
        <w:tc>
          <w:tcPr>
            <w:tcW w:w="5400" w:type="dxa"/>
          </w:tcPr>
          <w:p w14:paraId="57CFBBE8" w14:textId="77777777" w:rsidR="00FE45CF" w:rsidRPr="00EF7CF9" w:rsidRDefault="00FE45CF" w:rsidP="00391FE2">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391FE2">
            <w:pPr>
              <w:pStyle w:val="ProductList-OfferingBody"/>
              <w:jc w:val="center"/>
            </w:pPr>
            <w:r>
              <w:t>&lt; 99%</w:t>
            </w:r>
          </w:p>
        </w:tc>
        <w:tc>
          <w:tcPr>
            <w:tcW w:w="5400" w:type="dxa"/>
          </w:tcPr>
          <w:p w14:paraId="3B56FC08" w14:textId="77777777" w:rsidR="00FE45CF" w:rsidRPr="00EF7CF9" w:rsidRDefault="00FE45CF" w:rsidP="00391FE2">
            <w:pPr>
              <w:pStyle w:val="ProductList-OfferingBody"/>
              <w:jc w:val="center"/>
            </w:pPr>
            <w:r>
              <w:t>25%</w:t>
            </w:r>
          </w:p>
        </w:tc>
      </w:tr>
    </w:tbl>
    <w:p w14:paraId="37A5D2B9" w14:textId="77777777" w:rsidR="004D140E" w:rsidRDefault="004D140E" w:rsidP="00B06E74">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de Nível de Serviço</w:t>
      </w:r>
      <w:r w:rsidRPr="00473DD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É aplicável um SLA separado ao Azure OpenAI Service</w:t>
      </w:r>
      <w:r>
        <w:rPr>
          <w:rFonts w:ascii="Times New Roman" w:hAnsi="Times New Roman" w:cs="Times New Roman"/>
          <w:sz w:val="24"/>
          <w:szCs w:val="24"/>
        </w:rPr>
        <w:t xml:space="preserve"> </w:t>
      </w:r>
    </w:p>
    <w:p w14:paraId="5F25689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063A3D5" w14:textId="7F1C8748" w:rsidR="00175814" w:rsidRPr="00B6541B" w:rsidRDefault="00175814" w:rsidP="00F01ED6">
      <w:pPr>
        <w:pStyle w:val="ProductList-Offering2Heading"/>
        <w:keepNext/>
        <w:tabs>
          <w:tab w:val="clear" w:pos="360"/>
          <w:tab w:val="clear" w:pos="720"/>
          <w:tab w:val="clear" w:pos="1080"/>
        </w:tabs>
        <w:spacing w:before="0" w:after="0"/>
        <w:outlineLvl w:val="2"/>
      </w:pPr>
      <w:bookmarkStart w:id="175" w:name="_Toc182409636"/>
      <w:r>
        <w:t>Azure Communication Gateway</w:t>
      </w:r>
      <w:bookmarkEnd w:id="175"/>
    </w:p>
    <w:p w14:paraId="590B504A" w14:textId="77777777" w:rsidR="00B2013C" w:rsidRDefault="00B2013C" w:rsidP="00F01ED6">
      <w:pPr>
        <w:pStyle w:val="ProductList-Body"/>
        <w:rPr>
          <w:b/>
          <w:color w:val="00188F"/>
        </w:rPr>
      </w:pPr>
      <w:r>
        <w:rPr>
          <w:b/>
          <w:color w:val="00188F"/>
        </w:rPr>
        <w:t>Definições Adicionais</w:t>
      </w:r>
    </w:p>
    <w:p w14:paraId="22141E65" w14:textId="2DEB733A"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Número de Telefone Atribuído</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é um número de telefone que cumpre todos os seguintes critérios:</w:t>
      </w:r>
    </w:p>
    <w:p w14:paraId="78DED7AA"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Este número foi aprovisionado nos ambientes da Ligação Operadora ou do Telefone Móvel Teams.</w:t>
      </w:r>
    </w:p>
    <w:p w14:paraId="18047FD5"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é configurado para a conectividade através do Azure Communications Gateway.</w:t>
      </w:r>
    </w:p>
    <w:p w14:paraId="7FA8D795" w14:textId="30BB550B" w:rsidR="00B2013C" w:rsidRDefault="00B2013C" w:rsidP="00F01ED6">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estado do número de telefone é </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de Ligação à Operadora ou Telefone Móvel Teams. Isto inclui (entre outros) a atribuição a utilizadores, pontes de conferência, Aplicações de voz e aplicações de terceiros.</w:t>
      </w:r>
    </w:p>
    <w:p w14:paraId="0B635ABB" w14:textId="5519B07D"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Período de Indisponibilidade</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num Período Aplicável para uma determinada Subscrição do Microsoft Azure quando os</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Números de Telefone Atribuídos não conseguem iniciar ou receber chamadas de voz através do Azure Communications Gateway.</w:t>
      </w:r>
    </w:p>
    <w:p w14:paraId="7D9C651D" w14:textId="1D4FB057" w:rsidR="00B2013C" w:rsidRPr="008E7C1C" w:rsidRDefault="00380305" w:rsidP="00F01ED6">
      <w:pPr>
        <w:pStyle w:val="xmsonormal"/>
        <w:shd w:val="clear" w:color="auto" w:fill="FFFFFF"/>
        <w:spacing w:before="0" w:beforeAutospacing="0" w:after="0" w:afterAutospacing="0"/>
        <w:rPr>
          <w:rFonts w:asciiTheme="minorHAnsi" w:eastAsiaTheme="minorHAnsi" w:hAnsiTheme="minorHAnsi" w:cstheme="minorBidi"/>
          <w:spacing w:val="-3"/>
          <w:sz w:val="18"/>
          <w:szCs w:val="22"/>
        </w:rPr>
      </w:pP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b/>
          <w:bCs/>
          <w:color w:val="00188F"/>
          <w:spacing w:val="-3"/>
          <w:sz w:val="18"/>
          <w:szCs w:val="22"/>
        </w:rPr>
        <w:t>Número de Minutos de Período de Indisponibilidade</w:t>
      </w: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spacing w:val="-3"/>
          <w:sz w:val="18"/>
          <w:szCs w:val="22"/>
        </w:rPr>
        <w:t xml:space="preserve"> é a soma de todo o Período de Indisponibilidade, multiplicado pelo número de Números de Telefone Atribuídos incapazes de iniciar ou receber chamadas através do Azure Communications Gateway para o Período de Indisponibilidade indicado. </w:t>
      </w:r>
    </w:p>
    <w:p w14:paraId="73DFF7AD" w14:textId="416C1005"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Número Máximo de Minutos Disponíveis</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o número total de minutos num Período Aplicável que o Azure Communications Gateway foi implementado com êxito (ou seja, o estado de aprovisionamento está marcado como concluído) multiplicado pelo número máximo de Números de</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em qualquer altura durante esse Período Aplicável.</w:t>
      </w:r>
    </w:p>
    <w:p w14:paraId="722DA8A6" w14:textId="0A0082BF"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Percentagem de Período de Disponibilidade</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A Percentagem de Período de Disponibilidade é calculada utilizando a seguinte fórmula:</w:t>
      </w:r>
    </w:p>
    <w:p w14:paraId="45A84727" w14:textId="77777777" w:rsidR="00B2013C" w:rsidRPr="00B06E74" w:rsidRDefault="00B2013C" w:rsidP="00F01ED6">
      <w:pPr>
        <w:pStyle w:val="ProductList-Body"/>
        <w:rPr>
          <w:sz w:val="12"/>
          <w:szCs w:val="12"/>
        </w:rPr>
      </w:pPr>
    </w:p>
    <w:p w14:paraId="63BE773C" w14:textId="74D86773" w:rsidR="00B2013C" w:rsidRDefault="00000000" w:rsidP="00F01ED6">
      <w:pPr>
        <w:pStyle w:val="ListParagraph"/>
        <w:spacing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Período de Indisponibilidade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06E74">
      <w:pPr>
        <w:spacing w:after="120" w:line="240" w:lineRule="auto"/>
        <w:rPr>
          <w:sz w:val="18"/>
        </w:rPr>
      </w:pPr>
      <w:r>
        <w:rPr>
          <w:sz w:val="18"/>
        </w:rPr>
        <w:t>Este SLA não é aplicável às falhas causadas por qualquer falha de software, equipamento ou serviços de terceiros que não sejam controlados pela Microsoft ou pelo software Microsoft que não esteja a ser executado no âmbito deste Serviço.</w:t>
      </w:r>
    </w:p>
    <w:p w14:paraId="3D411D07" w14:textId="77777777" w:rsidR="00B2013C" w:rsidRDefault="00B2013C" w:rsidP="00F01ED6">
      <w:pPr>
        <w:pStyle w:val="ProductList-Body"/>
        <w:keepNext/>
        <w:rPr>
          <w:b/>
          <w:bCs/>
          <w:color w:val="00188F"/>
        </w:rPr>
      </w:pPr>
      <w:r>
        <w:rPr>
          <w:b/>
          <w:bCs/>
          <w:color w:val="00188F"/>
        </w:rPr>
        <w:t>Os seguintes Níveis de Serviço e Créditos de Serviço são aplicáveis à utilização que o Cliente faz do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F01ED6">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F01ED6">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F01ED6">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F01ED6">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F01ED6">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1326FB06" w:rsidR="00B2013C" w:rsidRDefault="00B2013C" w:rsidP="00F01ED6">
            <w:pPr>
              <w:pStyle w:val="ProductList-OfferingBody"/>
              <w:jc w:val="center"/>
            </w:pPr>
            <w:r>
              <w:t>&lt;</w:t>
            </w:r>
            <w:r w:rsidR="006F3CBD">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F01ED6">
            <w:pPr>
              <w:pStyle w:val="ProductList-OfferingBody"/>
              <w:jc w:val="center"/>
            </w:pPr>
            <w:r>
              <w:t>100%</w:t>
            </w:r>
          </w:p>
        </w:tc>
      </w:tr>
    </w:tbl>
    <w:p w14:paraId="37584DD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389F154" w14:textId="3BB2D9DD" w:rsidR="00B6541B" w:rsidRPr="00B6541B" w:rsidRDefault="00B6541B" w:rsidP="00F01ED6">
      <w:pPr>
        <w:pStyle w:val="ProductList-Offering2Heading"/>
        <w:keepNext/>
        <w:tabs>
          <w:tab w:val="clear" w:pos="360"/>
          <w:tab w:val="clear" w:pos="720"/>
          <w:tab w:val="clear" w:pos="1080"/>
        </w:tabs>
        <w:spacing w:before="0" w:after="0"/>
        <w:outlineLvl w:val="2"/>
      </w:pPr>
      <w:bookmarkStart w:id="176" w:name="_Toc182409637"/>
      <w:r>
        <w:t>Azure Communication Services</w:t>
      </w:r>
      <w:bookmarkEnd w:id="176"/>
    </w:p>
    <w:p w14:paraId="4DFBE77A" w14:textId="77777777" w:rsidR="00B6541B" w:rsidRPr="00B6541B" w:rsidRDefault="00B6541B" w:rsidP="00F01ED6">
      <w:pPr>
        <w:pStyle w:val="ProductList-Body"/>
        <w:rPr>
          <w:b/>
          <w:color w:val="00188F"/>
        </w:rPr>
      </w:pPr>
      <w:r>
        <w:rPr>
          <w:b/>
          <w:color w:val="00188F"/>
        </w:rPr>
        <w:t>Definições Adicionais</w:t>
      </w:r>
    </w:p>
    <w:p w14:paraId="53EC037E" w14:textId="01D68462" w:rsidR="00B6541B" w:rsidRDefault="00380305" w:rsidP="00F01ED6">
      <w:pPr>
        <w:pStyle w:val="ProductList-Body"/>
      </w:pPr>
      <w:r>
        <w:t>“</w:t>
      </w:r>
      <w:r w:rsidR="00B6541B">
        <w:rPr>
          <w:b/>
          <w:bCs/>
          <w:color w:val="00188F"/>
        </w:rPr>
        <w:t>Período de Indisponibilidade</w:t>
      </w:r>
      <w:r>
        <w:t>”</w:t>
      </w:r>
      <w:r w:rsidR="00B6541B">
        <w:t xml:space="preserve"> </w:t>
      </w:r>
      <w:r w:rsidR="00B6541B">
        <w:rPr>
          <w:rFonts w:ascii="Calibri" w:eastAsia="Calibri" w:hAnsi="Calibri" w:cs="Calibri"/>
        </w:rPr>
        <w:t>é o número total de Máximo de Minutos Disponíveis durante um Período Aplicável durante os quais o Azure Communication Services está indisponível. Um minuto considera-se indisponível se todos os pedidos durante este minuto gerarem 5xx erros.</w:t>
      </w:r>
    </w:p>
    <w:p w14:paraId="1DD25A5C" w14:textId="0597DFD0" w:rsidR="009E0C69" w:rsidRDefault="008F7199" w:rsidP="00F01ED6">
      <w:pPr>
        <w:pStyle w:val="ProductList-Body"/>
      </w:pPr>
      <w:r>
        <w:rPr>
          <w:b/>
          <w:bCs/>
          <w:color w:val="00188F"/>
        </w:rPr>
        <w:t>Máximo de Minutos Disponíveis</w:t>
      </w:r>
      <w:r>
        <w:rPr>
          <w:rFonts w:ascii="Calibri" w:eastAsia="Calibri" w:hAnsi="Calibri" w:cs="Calibri"/>
        </w:rPr>
        <w:t xml:space="preserve"> é o número total de minutos durante os quais o Azure Communication Services foi implementado por um Cliente numa subscrição do Microsoft Azure durante um Período Aplicável.</w:t>
      </w:r>
    </w:p>
    <w:p w14:paraId="47E4892E" w14:textId="6415D2FD" w:rsidR="00B6541B"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6CA3D371" w14:textId="77777777" w:rsidR="00B6541B" w:rsidRPr="00B06E74" w:rsidRDefault="00B6541B" w:rsidP="00F01ED6">
      <w:pPr>
        <w:pStyle w:val="ProductList-Body"/>
        <w:rPr>
          <w:sz w:val="12"/>
          <w:szCs w:val="12"/>
        </w:rPr>
      </w:pPr>
    </w:p>
    <w:p w14:paraId="63F391E8" w14:textId="46D3DAC2" w:rsidR="00B6541B"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BC57BA9" w14:textId="77777777" w:rsidR="00B6541B" w:rsidRPr="00B6541B" w:rsidRDefault="00B6541B" w:rsidP="00F01ED6">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F01ED6">
            <w:pPr>
              <w:pStyle w:val="ProductList-OfferingBody"/>
              <w:spacing w:before="0" w:after="0"/>
              <w:jc w:val="center"/>
              <w:rPr>
                <w:color w:val="FFFFFF" w:themeColor="background1"/>
              </w:rPr>
            </w:pPr>
            <w:r>
              <w:rPr>
                <w:color w:val="FFFFFF" w:themeColor="background1"/>
              </w:rPr>
              <w:t>Percentagem de Período de Disponibilidade</w:t>
            </w:r>
          </w:p>
        </w:tc>
        <w:tc>
          <w:tcPr>
            <w:tcW w:w="5400" w:type="dxa"/>
            <w:shd w:val="clear" w:color="auto" w:fill="0072C6"/>
          </w:tcPr>
          <w:p w14:paraId="770A261D" w14:textId="77777777" w:rsidR="00B6541B" w:rsidRPr="00EF7CF9" w:rsidRDefault="00B6541B" w:rsidP="00F01ED6">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277097">
        <w:tc>
          <w:tcPr>
            <w:tcW w:w="5400" w:type="dxa"/>
          </w:tcPr>
          <w:p w14:paraId="53F0625F" w14:textId="77777777" w:rsidR="00B6541B" w:rsidRPr="00EF7CF9" w:rsidRDefault="00B6541B" w:rsidP="00391FE2">
            <w:pPr>
              <w:pStyle w:val="ProductList-OfferingBody"/>
              <w:jc w:val="center"/>
            </w:pPr>
            <w:r>
              <w:t>&lt; 99,9%</w:t>
            </w:r>
          </w:p>
        </w:tc>
        <w:tc>
          <w:tcPr>
            <w:tcW w:w="5400" w:type="dxa"/>
          </w:tcPr>
          <w:p w14:paraId="47FAAA95" w14:textId="77777777" w:rsidR="00B6541B" w:rsidRPr="00EF7CF9" w:rsidRDefault="00B6541B" w:rsidP="00391FE2">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391FE2">
            <w:pPr>
              <w:pStyle w:val="ProductList-OfferingBody"/>
              <w:jc w:val="center"/>
            </w:pPr>
            <w:r>
              <w:t>&lt; 99%</w:t>
            </w:r>
          </w:p>
        </w:tc>
        <w:tc>
          <w:tcPr>
            <w:tcW w:w="5400" w:type="dxa"/>
          </w:tcPr>
          <w:p w14:paraId="2C12DDBF" w14:textId="77777777" w:rsidR="00B6541B" w:rsidRPr="00EF7CF9" w:rsidRDefault="00B6541B" w:rsidP="00391FE2">
            <w:pPr>
              <w:pStyle w:val="ProductList-OfferingBody"/>
              <w:jc w:val="center"/>
            </w:pPr>
            <w:r>
              <w:t>25%</w:t>
            </w:r>
          </w:p>
        </w:tc>
      </w:tr>
    </w:tbl>
    <w:p w14:paraId="06E0A7F5" w14:textId="0BADDD2C" w:rsidR="00B6541B" w:rsidRDefault="00532226" w:rsidP="00F01ED6">
      <w:pPr>
        <w:pStyle w:val="ProductList-Body"/>
        <w:spacing w:before="120"/>
      </w:pPr>
      <w:r>
        <w:rPr>
          <w:b/>
          <w:bCs/>
          <w:color w:val="00188F"/>
        </w:rPr>
        <w:t>Termos Adicionais</w:t>
      </w:r>
      <w:r w:rsidRPr="00473DD3">
        <w:rPr>
          <w:b/>
          <w:bCs/>
          <w:color w:val="00188F"/>
        </w:rPr>
        <w:t>:</w:t>
      </w:r>
      <w:r>
        <w:t xml:space="preserve"> O crédito de serviço será aplicado ao serviço individual que estava indisponível. Por exemplo, se o Cliente estava a utilizar serviços de SMS e Chat, e o serviço SMS não cumprir o SLA, o Cliente receberia um crédito pela utilização de SMS, não pela utilização do chat.</w:t>
      </w:r>
    </w:p>
    <w:p w14:paraId="73980EF5" w14:textId="77777777" w:rsidR="00B6541B" w:rsidRPr="00B06E74" w:rsidRDefault="00B6541B" w:rsidP="00F01ED6">
      <w:pPr>
        <w:pStyle w:val="ProductList-Body"/>
        <w:rPr>
          <w:sz w:val="12"/>
          <w:szCs w:val="12"/>
        </w:rPr>
      </w:pPr>
    </w:p>
    <w:p w14:paraId="2B82CC9C" w14:textId="2FE31A1A" w:rsidR="00B6541B" w:rsidRDefault="00B6541B" w:rsidP="00F01ED6">
      <w:pPr>
        <w:pStyle w:val="ProductList-Body"/>
      </w:pPr>
      <w:r>
        <w:t>Os minutos disponíveis baseiam-se apenas em serviços que estão sob o controlo do Azure Communication Services, o que exclui serviços de terceiros, tais como operadoras e fornecedores de telecomunicações.</w:t>
      </w:r>
    </w:p>
    <w:p w14:paraId="02F708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76DED38" w14:textId="77777777" w:rsidR="00774368" w:rsidRPr="00774368" w:rsidRDefault="00774368" w:rsidP="00F01ED6">
      <w:pPr>
        <w:pStyle w:val="ProductList-Offering2Heading"/>
        <w:keepNext/>
        <w:tabs>
          <w:tab w:val="clear" w:pos="360"/>
          <w:tab w:val="clear" w:pos="720"/>
          <w:tab w:val="clear" w:pos="1080"/>
        </w:tabs>
        <w:spacing w:before="0" w:after="0"/>
        <w:outlineLvl w:val="2"/>
      </w:pPr>
      <w:bookmarkStart w:id="177" w:name="_Toc182409638"/>
      <w:r>
        <w:t>Azure Confidential Ledger</w:t>
      </w:r>
      <w:bookmarkEnd w:id="177"/>
    </w:p>
    <w:p w14:paraId="4F327946" w14:textId="719E083B" w:rsidR="00774368" w:rsidRPr="00774368" w:rsidRDefault="00EE6E3C" w:rsidP="00F01ED6">
      <w:pPr>
        <w:pStyle w:val="ProductList-Body"/>
        <w:rPr>
          <w:b/>
          <w:bCs/>
          <w:color w:val="00188F"/>
        </w:rPr>
      </w:pPr>
      <w:r>
        <w:rPr>
          <w:b/>
          <w:bCs/>
          <w:color w:val="00188F"/>
        </w:rPr>
        <w:t>Cálculo do Período de Disponibilidade e Níveis de Serviço para o Azure Confidential Ledger</w:t>
      </w:r>
    </w:p>
    <w:p w14:paraId="5E635D0D" w14:textId="41D0651D" w:rsidR="00774368" w:rsidRDefault="00380305" w:rsidP="00F01ED6">
      <w:pPr>
        <w:pStyle w:val="ProductList-Body"/>
      </w:pPr>
      <w:r>
        <w:t>“</w:t>
      </w:r>
      <w:r w:rsidR="00774368">
        <w:rPr>
          <w:b/>
          <w:bCs/>
          <w:color w:val="00188F"/>
        </w:rPr>
        <w:t>Minutos de Implementação</w:t>
      </w:r>
      <w:r>
        <w:t>”</w:t>
      </w:r>
      <w:r w:rsidR="00774368">
        <w:t xml:space="preserve"> designa o número total de minutos durante os quais um determinado livro-razão confidencial gerido foi implementado no Microsoft Azure durante um Período Aplicável.</w:t>
      </w:r>
    </w:p>
    <w:p w14:paraId="7F32078E" w14:textId="4BAC3862" w:rsidR="00774368" w:rsidRDefault="00380305" w:rsidP="00F01ED6">
      <w:pPr>
        <w:pStyle w:val="ProductList-Body"/>
      </w:pPr>
      <w:r>
        <w:t>“</w:t>
      </w:r>
      <w:r w:rsidR="00774368">
        <w:rPr>
          <w:b/>
          <w:bCs/>
          <w:color w:val="00188F"/>
        </w:rPr>
        <w:t>Máximo de Minutos Disponíveis</w:t>
      </w:r>
      <w:r>
        <w:t>”</w:t>
      </w:r>
      <w:r w:rsidR="00774368">
        <w:t xml:space="preserve"> designa a soma de todos os Minutos de Implementação em todos os livros-razão confidenciais geridos implementados pelo Cliente numa determinada subscrição do Microsoft Azure durante um Período Aplicável.</w:t>
      </w:r>
    </w:p>
    <w:p w14:paraId="12F1C8B0" w14:textId="763E21E2" w:rsidR="00774368" w:rsidRDefault="00380305" w:rsidP="00F01ED6">
      <w:pPr>
        <w:pStyle w:val="ProductList-Body"/>
      </w:pPr>
      <w:r>
        <w:t>“</w:t>
      </w:r>
      <w:r w:rsidR="00774368">
        <w:rPr>
          <w:b/>
          <w:bCs/>
          <w:color w:val="00188F"/>
        </w:rPr>
        <w:t>Transações Excluídas</w:t>
      </w:r>
      <w:r>
        <w:t>”</w:t>
      </w:r>
      <w:r w:rsidR="00774368">
        <w:t xml:space="preserve"> são transações para criar, atualizar ou eliminar livros-razão confidenciais geridos.</w:t>
      </w:r>
    </w:p>
    <w:p w14:paraId="5F7EAD95" w14:textId="754F126F" w:rsidR="00774368" w:rsidRDefault="00380305" w:rsidP="00F01ED6">
      <w:pPr>
        <w:pStyle w:val="ProductList-Body"/>
      </w:pPr>
      <w:r>
        <w:t>“</w:t>
      </w:r>
      <w:r w:rsidR="00774368">
        <w:rPr>
          <w:b/>
          <w:bCs/>
          <w:color w:val="00188F"/>
        </w:rPr>
        <w:t>Período de Indisponibilidade</w:t>
      </w:r>
      <w:r>
        <w:t>”</w:t>
      </w:r>
      <w:r w:rsidR="00774368">
        <w:t xml:space="preserve"> designa o total de minutos acumulados, em todos os livros-razão confidenciais geridos implementados pelo Cliente</w:t>
      </w:r>
      <w:r w:rsidR="00680432">
        <w:t> </w:t>
      </w:r>
      <w:r w:rsidR="00774368">
        <w:t>numa determinada subscrição do Microsoft Azure, durante a qual o livro-razão confidencial gerido está indisponível. Um minuto é</w:t>
      </w:r>
      <w:r w:rsidR="00680432">
        <w:t> </w:t>
      </w:r>
      <w:r w:rsidR="00774368">
        <w:t>considerado indisponível para um determinado livro-razão confidencial se todas as tentativas contínuas para executar transações, que não</w:t>
      </w:r>
      <w:r w:rsidR="00774368" w:rsidRPr="00680432">
        <w:t xml:space="preserve"> </w:t>
      </w:r>
      <w:r w:rsidR="00774368">
        <w:t>Transações Excluídas, no livro-razão confidencial durante esse minuto devolverem um Código de Erro ou não resultarem num Código de Êxito num</w:t>
      </w:r>
      <w:r w:rsidR="00680432">
        <w:t> </w:t>
      </w:r>
      <w:r w:rsidR="00774368">
        <w:t>prazo de 5 segundos após a receção do pedido por parte da Microsoft.</w:t>
      </w:r>
    </w:p>
    <w:p w14:paraId="431E0688" w14:textId="30B3307C" w:rsidR="00774368" w:rsidRDefault="00774368" w:rsidP="00F01ED6">
      <w:pPr>
        <w:pStyle w:val="ProductList-Body"/>
      </w:pPr>
      <w:r>
        <w:t xml:space="preserve">A </w:t>
      </w:r>
      <w:r w:rsidR="00380305">
        <w:t>“</w:t>
      </w:r>
      <w:r>
        <w:rPr>
          <w:b/>
          <w:bCs/>
          <w:color w:val="00188F"/>
        </w:rPr>
        <w:t>Percentagem de Período de Disponibilidade</w:t>
      </w:r>
      <w:r w:rsidR="00380305">
        <w:t>”</w:t>
      </w:r>
      <w:r>
        <w:t xml:space="preserve"> para o serviço Azure Confidential Ledger é calculada como o Máximo de Minutos Disponíveis menos o Período de Indisponibilidade a dividir pelo Máximo de Minutos Disponíveis num Período Aplicável para uma determinada subscrição do</w:t>
      </w:r>
      <w:r w:rsidR="00DA3382">
        <w:t> </w:t>
      </w:r>
      <w:r>
        <w:t>Microsoft Azure. A Percentagem de Período de Disponibilidade é representada pela seguinte fórmula:</w:t>
      </w:r>
    </w:p>
    <w:p w14:paraId="71ED74DB" w14:textId="19DDD41A" w:rsidR="00774368" w:rsidRPr="00B06E74" w:rsidRDefault="00774368" w:rsidP="00F01ED6">
      <w:pPr>
        <w:pStyle w:val="ProductList-Body"/>
        <w:rPr>
          <w:sz w:val="12"/>
          <w:szCs w:val="12"/>
        </w:rPr>
      </w:pPr>
    </w:p>
    <w:p w14:paraId="79D5452C" w14:textId="1BE4CA3C" w:rsidR="00774368"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C2DF121" w14:textId="77777777" w:rsidR="00774368" w:rsidRPr="00774368" w:rsidRDefault="00774368" w:rsidP="00F01ED6">
      <w:pPr>
        <w:pStyle w:val="ProductList-Body"/>
        <w:keepNext/>
        <w:rPr>
          <w:b/>
          <w:bCs/>
          <w:color w:val="00188F"/>
        </w:rPr>
      </w:pPr>
      <w:r>
        <w:rPr>
          <w:b/>
          <w:bCs/>
          <w:color w:val="00188F"/>
        </w:rPr>
        <w:t>Os seguintes Níveis de Serviço e Créditos de Serviço são aplicáveis à utilização do Azure Confidential Ledger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751BF2" w14:textId="77777777" w:rsidR="00774368" w:rsidRPr="001A0074" w:rsidRDefault="00774368" w:rsidP="00F01ED6">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F01ED6">
            <w:pPr>
              <w:pStyle w:val="ProductList-OfferingBody"/>
              <w:jc w:val="center"/>
            </w:pPr>
            <w:r>
              <w:t>&lt; 99,9%</w:t>
            </w:r>
          </w:p>
        </w:tc>
        <w:tc>
          <w:tcPr>
            <w:tcW w:w="5400" w:type="dxa"/>
          </w:tcPr>
          <w:p w14:paraId="29A8BCAC" w14:textId="77777777" w:rsidR="00774368" w:rsidRPr="0076238C" w:rsidRDefault="00774368" w:rsidP="00F01ED6">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F01ED6">
            <w:pPr>
              <w:pStyle w:val="ProductList-OfferingBody"/>
              <w:jc w:val="center"/>
            </w:pPr>
            <w:r>
              <w:t>&lt; 99%</w:t>
            </w:r>
          </w:p>
        </w:tc>
        <w:tc>
          <w:tcPr>
            <w:tcW w:w="5400" w:type="dxa"/>
          </w:tcPr>
          <w:p w14:paraId="1DBA3864" w14:textId="77777777" w:rsidR="00774368" w:rsidRPr="0076238C" w:rsidRDefault="00774368" w:rsidP="00F01ED6">
            <w:pPr>
              <w:pStyle w:val="ProductList-OfferingBody"/>
              <w:jc w:val="center"/>
            </w:pPr>
            <w:r>
              <w:t>25%</w:t>
            </w:r>
          </w:p>
        </w:tc>
      </w:tr>
    </w:tbl>
    <w:p w14:paraId="37502D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EF48DB" w14:textId="77777777" w:rsidR="000B24EC" w:rsidRPr="000B24EC" w:rsidRDefault="000B24EC" w:rsidP="00F01ED6">
      <w:pPr>
        <w:pStyle w:val="ProductList-Offering2Heading"/>
        <w:keepNext/>
        <w:tabs>
          <w:tab w:val="clear" w:pos="360"/>
          <w:tab w:val="clear" w:pos="720"/>
          <w:tab w:val="clear" w:pos="1080"/>
        </w:tabs>
        <w:spacing w:before="0" w:after="0"/>
        <w:outlineLvl w:val="2"/>
      </w:pPr>
      <w:bookmarkStart w:id="178" w:name="_Toc182409639"/>
      <w:r>
        <w:t>Azure Container Apps</w:t>
      </w:r>
      <w:bookmarkEnd w:id="178"/>
    </w:p>
    <w:p w14:paraId="6CCAE860" w14:textId="77777777" w:rsidR="000B24EC" w:rsidRPr="000B24EC" w:rsidRDefault="000B24EC" w:rsidP="00F01ED6">
      <w:pPr>
        <w:pStyle w:val="ProductList-Body"/>
        <w:rPr>
          <w:b/>
          <w:bCs/>
          <w:color w:val="00188F"/>
        </w:rPr>
      </w:pPr>
      <w:r>
        <w:rPr>
          <w:b/>
          <w:bCs/>
          <w:color w:val="00188F"/>
        </w:rPr>
        <w:t>Definições Adicionais</w:t>
      </w:r>
    </w:p>
    <w:p w14:paraId="3F419D97" w14:textId="3D7EBB88" w:rsidR="000B24EC" w:rsidRDefault="00380305" w:rsidP="00F01ED6">
      <w:pPr>
        <w:pStyle w:val="ProductList-Body"/>
      </w:pPr>
      <w:r>
        <w:t>“</w:t>
      </w:r>
      <w:r w:rsidR="000B24EC">
        <w:rPr>
          <w:b/>
          <w:bCs/>
          <w:color w:val="00188F"/>
        </w:rPr>
        <w:t>Aplicação</w:t>
      </w:r>
      <w:r>
        <w:t>”</w:t>
      </w:r>
      <w:r w:rsidR="000B24EC">
        <w:t xml:space="preserve"> é um microsserviço ou uma aplicação implementada por um cliente do serviço Azure Container Apps.</w:t>
      </w:r>
    </w:p>
    <w:p w14:paraId="7A1E0F20" w14:textId="57917914" w:rsidR="000B24EC" w:rsidRPr="008E7C1C" w:rsidRDefault="00380305" w:rsidP="00F01ED6">
      <w:pPr>
        <w:pStyle w:val="ProductList-Body"/>
        <w:rPr>
          <w:spacing w:val="-3"/>
        </w:rPr>
      </w:pPr>
      <w:r>
        <w:rPr>
          <w:spacing w:val="-3"/>
        </w:rPr>
        <w:t>“</w:t>
      </w:r>
      <w:r w:rsidR="000B24EC" w:rsidRPr="008E7C1C">
        <w:rPr>
          <w:b/>
          <w:bCs/>
          <w:color w:val="00188F"/>
          <w:spacing w:val="-3"/>
        </w:rPr>
        <w:t>Minutos de Implementação</w:t>
      </w:r>
      <w:r>
        <w:rPr>
          <w:spacing w:val="-3"/>
        </w:rPr>
        <w:t>”</w:t>
      </w:r>
      <w:r w:rsidR="000B24EC" w:rsidRPr="008E7C1C">
        <w:rPr>
          <w:spacing w:val="-3"/>
        </w:rPr>
        <w:t xml:space="preserve"> designa o número total de minutos durante os quais se espera que uma Aplicação esteja ativa durante um Período Aplicável. O tempo que se espera que uma Aplicação esteja ativa durante um Período Aplicável baseia-se em regras de escala definidas por um cliente.</w:t>
      </w:r>
    </w:p>
    <w:p w14:paraId="577AE7E2" w14:textId="0C70F7A9" w:rsidR="000B24EC" w:rsidRDefault="00380305" w:rsidP="00F01ED6">
      <w:pPr>
        <w:pStyle w:val="ProductList-Body"/>
      </w:pPr>
      <w:r>
        <w:t>“</w:t>
      </w:r>
      <w:r w:rsidR="000B24EC">
        <w:rPr>
          <w:b/>
          <w:bCs/>
          <w:color w:val="00188F"/>
        </w:rPr>
        <w:t>Máximo de Minutos Disponíveis</w:t>
      </w:r>
      <w:r>
        <w:t>”</w:t>
      </w:r>
      <w:r w:rsidR="000B24EC">
        <w:t xml:space="preserve"> designa a soma de todos os Minutos de Implementação para uma determinada Aplicação implementada pelo Cliente numa determinada subscrição do Microsoft Azure durante um Período Aplicável.</w:t>
      </w:r>
    </w:p>
    <w:p w14:paraId="31B96E11" w14:textId="79AF2C7C" w:rsidR="000B24EC" w:rsidRPr="000B24EC" w:rsidRDefault="00EE6E3C" w:rsidP="00B06E74">
      <w:pPr>
        <w:pStyle w:val="ProductList-Body"/>
        <w:rPr>
          <w:b/>
          <w:bCs/>
          <w:color w:val="00188F"/>
        </w:rPr>
      </w:pPr>
      <w:r>
        <w:rPr>
          <w:b/>
          <w:bCs/>
          <w:color w:val="00188F"/>
        </w:rPr>
        <w:t>Cálculo do Período de Disponibilidade e Níveis de Serviço para o Azure Container Apps</w:t>
      </w:r>
    </w:p>
    <w:p w14:paraId="31C04623" w14:textId="60D6084A" w:rsidR="000B24EC" w:rsidRDefault="00380305" w:rsidP="00F01ED6">
      <w:pPr>
        <w:pStyle w:val="ProductList-Body"/>
      </w:pPr>
      <w:r>
        <w:t>“</w:t>
      </w:r>
      <w:r w:rsidR="000B24EC">
        <w:rPr>
          <w:b/>
          <w:bCs/>
          <w:color w:val="00188F"/>
        </w:rPr>
        <w:t>Período de Indisponibilidade</w:t>
      </w:r>
      <w:r>
        <w:t>”</w:t>
      </w:r>
      <w:r w:rsidR="000B24EC">
        <w:t xml:space="preserve"> designa o total de minutos acumulados, em todas as Aplicações implementadas por um Cliente numa determinada subscrição do Microsoft Azure, durante a qual uma ou mais Aplicações está indisponível. Um minuto é considerado indisponível para uma determinada Aplicação quando não existe nenhuma conectividade entre a Aplicação e o gateway de Internet da Microsoft.</w:t>
      </w:r>
    </w:p>
    <w:p w14:paraId="5C76F7F0" w14:textId="3AB85C78" w:rsidR="000B24EC" w:rsidRDefault="00AC48A7" w:rsidP="00F01ED6">
      <w:pPr>
        <w:pStyle w:val="ProductList-Body"/>
      </w:pPr>
      <w:r>
        <w:rPr>
          <w:b/>
          <w:bCs/>
          <w:color w:val="00188F"/>
        </w:rPr>
        <w:t>Percentagem de Período de Disponibilidade:</w:t>
      </w:r>
      <w:r>
        <w:t xml:space="preserve"> A </w:t>
      </w:r>
      <w:r w:rsidR="00380305">
        <w:t>“</w:t>
      </w:r>
      <w:r>
        <w:t>Percentagem de Período de Disponibilidade</w:t>
      </w:r>
      <w:r w:rsidR="00380305">
        <w:t>”</w:t>
      </w:r>
      <w:r>
        <w:t xml:space="preserve"> é calculada através da seguinte fórmula:</w:t>
      </w:r>
    </w:p>
    <w:p w14:paraId="2E6F5040" w14:textId="77777777" w:rsidR="000B24EC" w:rsidRPr="00B06E74" w:rsidRDefault="000B24EC" w:rsidP="00F01ED6">
      <w:pPr>
        <w:pStyle w:val="ProductList-Body"/>
        <w:rPr>
          <w:sz w:val="12"/>
          <w:szCs w:val="12"/>
        </w:rPr>
      </w:pPr>
    </w:p>
    <w:p w14:paraId="2449A806" w14:textId="685017D2" w:rsidR="000B24EC"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CC817AF" w14:textId="77777777" w:rsidR="000B24EC" w:rsidRPr="0009720F" w:rsidRDefault="000B24EC" w:rsidP="00F01ED6">
      <w:pPr>
        <w:pStyle w:val="ProductList-Body"/>
        <w:keepNext/>
        <w:rPr>
          <w:b/>
          <w:bCs/>
          <w:color w:val="00188F"/>
        </w:rPr>
      </w:pPr>
      <w:r>
        <w:rPr>
          <w:b/>
          <w:bCs/>
          <w:color w:val="00188F"/>
        </w:rPr>
        <w:t>Os seguintes Níveis de Serviço e Créditos de Serviço são aplicáveis à utilização que o Cliente faz do serviço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01E2CC" w14:textId="77777777" w:rsidR="0009720F" w:rsidRPr="001A0074" w:rsidRDefault="0009720F" w:rsidP="00F01ED6">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F01ED6">
            <w:pPr>
              <w:pStyle w:val="ProductList-OfferingBody"/>
              <w:jc w:val="center"/>
            </w:pPr>
            <w:r>
              <w:t>&lt; 99,95%</w:t>
            </w:r>
          </w:p>
        </w:tc>
        <w:tc>
          <w:tcPr>
            <w:tcW w:w="5400" w:type="dxa"/>
          </w:tcPr>
          <w:p w14:paraId="75499F95" w14:textId="77777777" w:rsidR="0009720F" w:rsidRPr="0076238C" w:rsidRDefault="0009720F" w:rsidP="00F01ED6">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F01ED6">
            <w:pPr>
              <w:pStyle w:val="ProductList-OfferingBody"/>
              <w:jc w:val="center"/>
            </w:pPr>
            <w:r>
              <w:t>&lt; 99%</w:t>
            </w:r>
          </w:p>
        </w:tc>
        <w:tc>
          <w:tcPr>
            <w:tcW w:w="5400" w:type="dxa"/>
          </w:tcPr>
          <w:p w14:paraId="00A669D7" w14:textId="77777777" w:rsidR="0009720F" w:rsidRPr="0076238C" w:rsidRDefault="0009720F" w:rsidP="00F01ED6">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F01ED6">
            <w:pPr>
              <w:pStyle w:val="ProductList-OfferingBody"/>
              <w:jc w:val="center"/>
            </w:pPr>
            <w:r>
              <w:t>&lt; 95%</w:t>
            </w:r>
          </w:p>
        </w:tc>
        <w:tc>
          <w:tcPr>
            <w:tcW w:w="5400" w:type="dxa"/>
          </w:tcPr>
          <w:p w14:paraId="31812F43" w14:textId="34C34F3C" w:rsidR="0009720F" w:rsidRDefault="0009720F" w:rsidP="00F01ED6">
            <w:pPr>
              <w:pStyle w:val="ProductList-OfferingBody"/>
              <w:jc w:val="center"/>
            </w:pPr>
            <w:r>
              <w:t>100%</w:t>
            </w:r>
          </w:p>
        </w:tc>
      </w:tr>
    </w:tbl>
    <w:p w14:paraId="7D88D33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D97ED15" w14:textId="47BE4869" w:rsidR="004005AF" w:rsidRDefault="004005AF" w:rsidP="00F01ED6">
      <w:pPr>
        <w:pStyle w:val="ProductList-Offering2Heading"/>
        <w:keepNext/>
        <w:tabs>
          <w:tab w:val="clear" w:pos="360"/>
          <w:tab w:val="clear" w:pos="720"/>
          <w:tab w:val="clear" w:pos="1080"/>
        </w:tabs>
        <w:outlineLvl w:val="2"/>
      </w:pPr>
      <w:bookmarkStart w:id="179" w:name="_Toc182409640"/>
      <w:r>
        <w:t>Azure Container Instances</w:t>
      </w:r>
      <w:bookmarkEnd w:id="162"/>
      <w:bookmarkEnd w:id="163"/>
      <w:bookmarkEnd w:id="179"/>
    </w:p>
    <w:p w14:paraId="386F1074" w14:textId="77777777" w:rsidR="004005AF" w:rsidRPr="00DA6241" w:rsidRDefault="004005AF" w:rsidP="00F01ED6">
      <w:pPr>
        <w:pStyle w:val="ProductList-Body"/>
      </w:pPr>
      <w:r>
        <w:rPr>
          <w:b/>
          <w:color w:val="00188F"/>
        </w:rPr>
        <w:t>Definições Adicionais</w:t>
      </w:r>
      <w:r w:rsidRPr="00473DD3">
        <w:rPr>
          <w:b/>
          <w:color w:val="00188F"/>
        </w:rPr>
        <w:t>:</w:t>
      </w:r>
    </w:p>
    <w:p w14:paraId="17D6F31B" w14:textId="13DF7744"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designa o tráfego de rede bidirecional entre a o Grupo de Contentores e os outros endereços IP que utilizam os protocolos de</w:t>
      </w:r>
      <w:r w:rsidR="00802F81">
        <w:rPr>
          <w:sz w:val="18"/>
        </w:rPr>
        <w:t> </w:t>
      </w:r>
      <w:r w:rsidR="004005AF">
        <w:rPr>
          <w:sz w:val="18"/>
        </w:rPr>
        <w:t>rede TCP ou UDP em que o Grupo de Contentores está configurado para o tráfego permitido.</w:t>
      </w:r>
    </w:p>
    <w:p w14:paraId="2C3918CB" w14:textId="2F425110"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Grupo de Contentores</w:t>
      </w:r>
      <w:r>
        <w:rPr>
          <w:sz w:val="18"/>
        </w:rPr>
        <w:t>”</w:t>
      </w:r>
      <w:r w:rsidR="004005AF">
        <w:rPr>
          <w:rFonts w:eastAsiaTheme="minorEastAsia"/>
          <w:sz w:val="18"/>
          <w:szCs w:val="18"/>
        </w:rPr>
        <w:t xml:space="preserve"> </w:t>
      </w:r>
      <w:r w:rsidR="004005AF">
        <w:rPr>
          <w:sz w:val="18"/>
        </w:rPr>
        <w:t>designa uma coleção de contentores colocalizados que partilha o mesmo ciclo de vida e os recursos de rede.</w:t>
      </w:r>
    </w:p>
    <w:p w14:paraId="2BA58C30" w14:textId="64833E19" w:rsidR="004005AF" w:rsidRPr="006B254C" w:rsidRDefault="00EE6E3C" w:rsidP="00F01ED6">
      <w:pPr>
        <w:spacing w:before="120" w:after="0" w:line="240" w:lineRule="auto"/>
        <w:rPr>
          <w:sz w:val="18"/>
          <w:szCs w:val="18"/>
        </w:rPr>
      </w:pPr>
      <w:r>
        <w:rPr>
          <w:b/>
          <w:color w:val="00188F"/>
          <w:sz w:val="18"/>
          <w:szCs w:val="18"/>
        </w:rPr>
        <w:t>Cálculo do Período de Disponibilidade e Níveis de Serviço para o Grupo de Contentores</w:t>
      </w:r>
      <w:r w:rsidRPr="00473DD3">
        <w:rPr>
          <w:b/>
          <w:color w:val="00188F"/>
          <w:sz w:val="18"/>
          <w:szCs w:val="18"/>
        </w:rPr>
        <w:t>:</w:t>
      </w:r>
    </w:p>
    <w:p w14:paraId="08FFC51D" w14:textId="5686D202"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durante o qual um determinado Grupo de Contentores foi implementado pelo Cliente numa subscrição do Microsoft Azure durante um Período Aplicável. O Máximo de Minutos Disponíveis é calculado a partir da ação do Cliente que resulta na inicialização de um determinado Grupo de Contentores até à ação do Cliente que resulta na paragem ou na eliminação de</w:t>
      </w:r>
      <w:r w:rsidR="00A6660C">
        <w:rPr>
          <w:sz w:val="18"/>
        </w:rPr>
        <w:t> </w:t>
      </w:r>
      <w:r w:rsidR="004005AF">
        <w:rPr>
          <w:sz w:val="18"/>
        </w:rPr>
        <w:t>um determinado Grupo de Contentores.</w:t>
      </w:r>
    </w:p>
    <w:p w14:paraId="57399B70" w14:textId="0F2E5803"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Período de Indisponibilidade</w:t>
      </w:r>
      <w:r>
        <w:rPr>
          <w:sz w:val="18"/>
        </w:rPr>
        <w:t>”</w:t>
      </w:r>
      <w:r w:rsidR="004005AF">
        <w:rPr>
          <w:rFonts w:eastAsiaTheme="minorEastAsia"/>
          <w:sz w:val="18"/>
          <w:szCs w:val="18"/>
        </w:rPr>
        <w:t xml:space="preserve"> </w:t>
      </w:r>
      <w:r w:rsidR="004005AF">
        <w:rPr>
          <w:sz w:val="18"/>
        </w:rPr>
        <w:t>designa o número total de minutos durante o Máximo de Minutos Disponíveis sem Conectividade.</w:t>
      </w:r>
    </w:p>
    <w:p w14:paraId="03725B88" w14:textId="2B583F57"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52E1066" w14:textId="77777777" w:rsidR="004005AF" w:rsidRDefault="004005AF" w:rsidP="00F01ED6">
      <w:pPr>
        <w:pStyle w:val="ProductList-Body"/>
      </w:pPr>
    </w:p>
    <w:p w14:paraId="63380865" w14:textId="570C8D4B" w:rsidR="004005AF"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7A707BE" w14:textId="77777777" w:rsidR="004005AF" w:rsidRPr="00774368" w:rsidRDefault="004005AF" w:rsidP="00F01ED6">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à utilização do Grupo de Contentores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D54CC4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F01ED6">
            <w:pPr>
              <w:pStyle w:val="ProductList-OfferingBody"/>
              <w:jc w:val="center"/>
            </w:pPr>
            <w:r>
              <w:t>&lt; 99,9%</w:t>
            </w:r>
          </w:p>
        </w:tc>
        <w:tc>
          <w:tcPr>
            <w:tcW w:w="5400" w:type="dxa"/>
          </w:tcPr>
          <w:p w14:paraId="7AE03CEF" w14:textId="77777777" w:rsidR="004005AF" w:rsidRPr="0076238C" w:rsidRDefault="004005AF" w:rsidP="00F01ED6">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F01ED6">
            <w:pPr>
              <w:pStyle w:val="ProductList-OfferingBody"/>
              <w:jc w:val="center"/>
            </w:pPr>
            <w:r>
              <w:t>&lt; 99%</w:t>
            </w:r>
          </w:p>
        </w:tc>
        <w:tc>
          <w:tcPr>
            <w:tcW w:w="5400" w:type="dxa"/>
          </w:tcPr>
          <w:p w14:paraId="24AC02CF" w14:textId="77777777" w:rsidR="004005AF" w:rsidRPr="0076238C" w:rsidRDefault="004005AF" w:rsidP="00F01ED6">
            <w:pPr>
              <w:pStyle w:val="ProductList-OfferingBody"/>
              <w:jc w:val="center"/>
            </w:pPr>
            <w:r>
              <w:t>25%</w:t>
            </w:r>
          </w:p>
        </w:tc>
      </w:tr>
    </w:tbl>
    <w:bookmarkStart w:id="180" w:name="_Hlk144403372"/>
    <w:bookmarkStart w:id="181" w:name="_Toc52348947"/>
    <w:bookmarkStart w:id="182" w:name="_Toc52348926"/>
    <w:bookmarkStart w:id="183" w:name="AzureCosmosDB"/>
    <w:bookmarkEnd w:id="164"/>
    <w:p w14:paraId="2CFC924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3BB6F2" w14:textId="77777777" w:rsidR="00491D0A" w:rsidRPr="00EF7CF9" w:rsidRDefault="00491D0A" w:rsidP="00F01ED6">
      <w:pPr>
        <w:pStyle w:val="ProductList-Offering2Heading"/>
        <w:keepNext/>
        <w:tabs>
          <w:tab w:val="clear" w:pos="360"/>
          <w:tab w:val="clear" w:pos="720"/>
          <w:tab w:val="clear" w:pos="1080"/>
        </w:tabs>
        <w:outlineLvl w:val="2"/>
      </w:pPr>
      <w:bookmarkStart w:id="184" w:name="_Toc182409641"/>
      <w:bookmarkEnd w:id="180"/>
      <w:r>
        <w:t>Azure Container Registry</w:t>
      </w:r>
      <w:bookmarkEnd w:id="181"/>
      <w:bookmarkEnd w:id="184"/>
    </w:p>
    <w:p w14:paraId="05E63E28" w14:textId="77777777" w:rsidR="00491D0A" w:rsidRPr="00EF7CF9" w:rsidRDefault="00491D0A" w:rsidP="00F01ED6">
      <w:pPr>
        <w:pStyle w:val="ProductList-Body"/>
        <w:keepNext/>
        <w:rPr>
          <w:rFonts w:cstheme="minorHAnsi"/>
          <w:b/>
          <w:color w:val="00188F"/>
          <w:szCs w:val="18"/>
        </w:rPr>
      </w:pPr>
      <w:r>
        <w:rPr>
          <w:rFonts w:cstheme="minorHAnsi"/>
          <w:b/>
          <w:color w:val="00188F"/>
          <w:szCs w:val="18"/>
        </w:rPr>
        <w:t>Definições Adicionais</w:t>
      </w:r>
      <w:r w:rsidRPr="00473DD3">
        <w:rPr>
          <w:rFonts w:cstheme="minorHAnsi"/>
          <w:b/>
          <w:color w:val="00188F"/>
          <w:szCs w:val="18"/>
        </w:rPr>
        <w:t>:</w:t>
      </w:r>
    </w:p>
    <w:p w14:paraId="6CEB28A5" w14:textId="3F6A5410"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Registo</w:t>
      </w:r>
      <w:r w:rsidR="00491D0A">
        <w:rPr>
          <w:rFonts w:eastAsia="Calibri" w:cstheme="minorHAnsi"/>
          <w:b/>
          <w:sz w:val="18"/>
          <w:szCs w:val="18"/>
        </w:rPr>
        <w:t xml:space="preserve"> </w:t>
      </w:r>
      <w:r w:rsidR="00491D0A">
        <w:rPr>
          <w:rFonts w:cstheme="minorHAnsi"/>
          <w:b/>
          <w:color w:val="00188F"/>
          <w:sz w:val="18"/>
          <w:szCs w:val="18"/>
        </w:rPr>
        <w:t>Gerido</w:t>
      </w:r>
      <w:r>
        <w:rPr>
          <w:rFonts w:eastAsia="Calibri" w:cstheme="minorHAnsi"/>
          <w:sz w:val="18"/>
          <w:szCs w:val="18"/>
        </w:rPr>
        <w:t>”</w:t>
      </w:r>
      <w:r w:rsidR="00491D0A">
        <w:rPr>
          <w:rFonts w:eastAsia="Calibri" w:cstheme="minorHAnsi"/>
          <w:sz w:val="18"/>
          <w:szCs w:val="18"/>
        </w:rPr>
        <w:t xml:space="preserve"> designa qualquer instância do Registo de Contentores Basic, Standard ou Premium.</w:t>
      </w:r>
    </w:p>
    <w:p w14:paraId="148330EA" w14:textId="3729EF31"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Parâmetro</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nome do anfitrião a partir do qual um determinado Registo Gerido é acedido pelos clientes para executarem operações relacionadas com o Registo de Contentores. </w:t>
      </w:r>
    </w:p>
    <w:p w14:paraId="07F834F0" w14:textId="297D75FA"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conjunto de pedidos de transações enviados pelo cliente para o Parâmetro do Registo. </w:t>
      </w:r>
    </w:p>
    <w:p w14:paraId="581389F1" w14:textId="77777777" w:rsidR="00491D0A" w:rsidRDefault="00491D0A" w:rsidP="00F01ED6">
      <w:pPr>
        <w:spacing w:after="0" w:line="240" w:lineRule="auto"/>
        <w:rPr>
          <w:rFonts w:eastAsia="Calibri" w:cstheme="minorHAnsi"/>
          <w:b/>
          <w:bCs/>
          <w:color w:val="00188F"/>
          <w:sz w:val="18"/>
          <w:szCs w:val="18"/>
        </w:rPr>
      </w:pPr>
    </w:p>
    <w:p w14:paraId="009FC995" w14:textId="2E93592D" w:rsidR="00491D0A" w:rsidRPr="00ED4527" w:rsidRDefault="00EE6E3C" w:rsidP="00F01ED6">
      <w:pPr>
        <w:spacing w:after="0" w:line="240" w:lineRule="auto"/>
        <w:rPr>
          <w:rFonts w:eastAsia="Calibri" w:cstheme="minorHAnsi"/>
          <w:b/>
          <w:bCs/>
          <w:color w:val="00188F"/>
          <w:sz w:val="18"/>
          <w:szCs w:val="18"/>
        </w:rPr>
      </w:pPr>
      <w:r>
        <w:rPr>
          <w:rFonts w:eastAsia="Calibri" w:cstheme="minorHAnsi"/>
          <w:b/>
          <w:bCs/>
          <w:color w:val="00188F"/>
          <w:sz w:val="18"/>
          <w:szCs w:val="18"/>
        </w:rPr>
        <w:t>Cálculo do Período de Disponibilidade e Níveis de Serviço para o Registo Gerido de Contentores</w:t>
      </w:r>
    </w:p>
    <w:p w14:paraId="0D05033E" w14:textId="17928601" w:rsidR="00491D0A" w:rsidRPr="00EF7CF9" w:rsidRDefault="00380305" w:rsidP="00F01ED6">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Máximo de</w:t>
      </w:r>
      <w:r w:rsidR="00491D0A">
        <w:rPr>
          <w:rFonts w:eastAsia="Calibri" w:cstheme="minorHAnsi"/>
          <w:b/>
          <w:bCs/>
          <w:sz w:val="18"/>
          <w:szCs w:val="18"/>
        </w:rPr>
        <w:t xml:space="preserve"> </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Registo Gerido de Contentores foi implementado pelo Cliente numa subscrição da Microsoft durante um Período Aplicável.</w:t>
      </w:r>
    </w:p>
    <w:p w14:paraId="145A1826" w14:textId="388C886C"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Período de Indisponibilidade</w:t>
      </w:r>
      <w:r>
        <w:rPr>
          <w:rFonts w:eastAsia="Calibri" w:cstheme="minorHAnsi"/>
          <w:sz w:val="18"/>
          <w:szCs w:val="18"/>
        </w:rPr>
        <w:t>”</w:t>
      </w:r>
      <w:r w:rsidR="00491D0A">
        <w:rPr>
          <w:rFonts w:eastAsia="Calibri" w:cstheme="minorHAnsi"/>
          <w:sz w:val="18"/>
          <w:szCs w:val="18"/>
        </w:rPr>
        <w:t xml:space="preserve"> designa o número total de minutos no Máximo de Minutos Disponíveis durante o qual o Registo Gerido está indisponível. Um minuto é considerado indisponível se todas as tentativas contínuas para enviar Transações do Registo recebem um Código de Erro</w:t>
      </w:r>
      <w:r w:rsidR="00A54B67">
        <w:rPr>
          <w:rFonts w:eastAsia="Calibri" w:cstheme="minorHAnsi"/>
          <w:sz w:val="18"/>
          <w:szCs w:val="18"/>
        </w:rPr>
        <w:t> </w:t>
      </w:r>
      <w:r w:rsidR="00491D0A">
        <w:rPr>
          <w:rFonts w:eastAsia="Calibri" w:cstheme="minorHAnsi"/>
          <w:sz w:val="18"/>
          <w:szCs w:val="18"/>
        </w:rPr>
        <w:t>ou não respondem no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F01ED6">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Transação</w:t>
            </w:r>
          </w:p>
        </w:tc>
        <w:tc>
          <w:tcPr>
            <w:tcW w:w="2500" w:type="pct"/>
            <w:shd w:val="clear" w:color="auto" w:fill="0070C0"/>
          </w:tcPr>
          <w:p w14:paraId="1656A56F" w14:textId="77777777" w:rsidR="00491D0A" w:rsidRPr="00D30B89" w:rsidRDefault="00491D0A" w:rsidP="00F01ED6">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391FE2" w:rsidRDefault="00491D0A" w:rsidP="008E18CD">
            <w:pPr>
              <w:keepNext/>
              <w:spacing w:before="20" w:after="20"/>
              <w:jc w:val="center"/>
              <w:rPr>
                <w:rFonts w:eastAsia="Calibri" w:cstheme="minorHAnsi"/>
                <w:b w:val="0"/>
                <w:sz w:val="16"/>
                <w:szCs w:val="16"/>
              </w:rPr>
            </w:pPr>
            <w:r w:rsidRPr="00391FE2">
              <w:rPr>
                <w:rFonts w:eastAsia="Calibri" w:cstheme="minorHAnsi"/>
                <w:b w:val="0"/>
                <w:sz w:val="16"/>
                <w:szCs w:val="16"/>
              </w:rPr>
              <w:t>Lista (Repositório, Manifestos, Etiquetas)</w:t>
            </w:r>
          </w:p>
        </w:tc>
        <w:tc>
          <w:tcPr>
            <w:tcW w:w="2500" w:type="pct"/>
          </w:tcPr>
          <w:p w14:paraId="3388B82A" w14:textId="77777777" w:rsidR="00491D0A" w:rsidRPr="00391FE2"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391FE2" w:rsidRDefault="00491D0A" w:rsidP="008E18CD">
            <w:pPr>
              <w:spacing w:before="20" w:after="20"/>
              <w:jc w:val="center"/>
              <w:rPr>
                <w:rFonts w:eastAsia="Calibri" w:cstheme="minorHAnsi"/>
                <w:b w:val="0"/>
                <w:sz w:val="16"/>
                <w:szCs w:val="16"/>
              </w:rPr>
            </w:pPr>
            <w:r w:rsidRPr="00391FE2">
              <w:rPr>
                <w:rFonts w:eastAsia="Calibri" w:cstheme="minorHAnsi"/>
                <w:b w:val="0"/>
                <w:sz w:val="16"/>
                <w:szCs w:val="16"/>
              </w:rPr>
              <w:t>Outros</w:t>
            </w:r>
          </w:p>
        </w:tc>
        <w:tc>
          <w:tcPr>
            <w:tcW w:w="2500" w:type="pct"/>
          </w:tcPr>
          <w:p w14:paraId="4B4DD1DD" w14:textId="77777777" w:rsidR="00491D0A" w:rsidRPr="00391FE2"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1 Minuto</w:t>
            </w:r>
          </w:p>
        </w:tc>
      </w:tr>
    </w:tbl>
    <w:p w14:paraId="61A3F4B8" w14:textId="49B1601F" w:rsidR="00491D0A" w:rsidRPr="00EF7CF9" w:rsidRDefault="00491D0A" w:rsidP="000C1785">
      <w:pPr>
        <w:pStyle w:val="ProductList-Body"/>
        <w:spacing w:before="120" w:after="120"/>
        <w:rPr>
          <w:rFonts w:eastAsia="Calibri" w:cstheme="minorHAnsi"/>
          <w:szCs w:val="18"/>
        </w:rPr>
      </w:pPr>
      <w:r>
        <w:t xml:space="preserve">A </w:t>
      </w:r>
      <w:r w:rsidR="00380305">
        <w:rPr>
          <w:rFonts w:eastAsia="Calibri" w:cstheme="minorHAnsi"/>
          <w:szCs w:val="18"/>
        </w:rPr>
        <w:t>“</w:t>
      </w:r>
      <w:r>
        <w:rPr>
          <w:rFonts w:cstheme="minorHAnsi"/>
          <w:b/>
          <w:color w:val="00188F"/>
          <w:szCs w:val="18"/>
        </w:rPr>
        <w:t>Percentagem de Período de Disponibilidade</w:t>
      </w:r>
      <w:r w:rsidR="00380305">
        <w:rPr>
          <w:rFonts w:eastAsia="Calibri" w:cstheme="minorHAnsi"/>
          <w:szCs w:val="18"/>
        </w:rPr>
        <w:t>”</w:t>
      </w:r>
      <w:r>
        <w:rPr>
          <w:rFonts w:eastAsia="Calibri" w:cstheme="minorHAnsi"/>
          <w:szCs w:val="18"/>
        </w:rPr>
        <w:t xml:space="preserve"> para o Registo Gerido de Contentores é calculada com a seguinte fórmula: </w:t>
      </w:r>
    </w:p>
    <w:p w14:paraId="3D465282" w14:textId="1F92ED02" w:rsidR="00491D0A" w:rsidRPr="00EF7CF9" w:rsidRDefault="008E7C1C" w:rsidP="00E430E1">
      <w:pPr>
        <w:spacing w:before="120" w:after="120"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1E0CE1">
      <w:pPr>
        <w:keepNext/>
        <w:spacing w:after="0" w:line="240" w:lineRule="auto"/>
        <w:rPr>
          <w:rFonts w:cstheme="minorHAnsi"/>
          <w:b/>
          <w:color w:val="00188F"/>
          <w:sz w:val="18"/>
          <w:szCs w:val="18"/>
        </w:rPr>
      </w:pPr>
      <w:r>
        <w:rPr>
          <w:rFonts w:cstheme="minorHAnsi"/>
          <w:b/>
          <w:color w:val="00188F"/>
          <w:sz w:val="18"/>
          <w:szCs w:val="18"/>
        </w:rPr>
        <w:t>Crédito de Serviço</w:t>
      </w:r>
      <w:r w:rsidRPr="00473DD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8E18CD" w:rsidRDefault="00AC48A7" w:rsidP="008E18CD">
            <w:pPr>
              <w:pStyle w:val="ProductList-OfferingBody"/>
              <w:keepNext/>
              <w:jc w:val="center"/>
              <w:rPr>
                <w:b w:val="0"/>
                <w:bCs w:val="0"/>
                <w:color w:val="FFFFFF" w:themeColor="background1"/>
                <w:szCs w:val="16"/>
              </w:rPr>
            </w:pPr>
            <w:r w:rsidRPr="008E18CD">
              <w:rPr>
                <w:b w:val="0"/>
                <w:bCs w:val="0"/>
                <w:color w:val="FFFFFF" w:themeColor="background1"/>
                <w:szCs w:val="16"/>
              </w:rPr>
              <w:t xml:space="preserve">Percentagem de Período de Disponibilidade </w:t>
            </w:r>
          </w:p>
        </w:tc>
        <w:tc>
          <w:tcPr>
            <w:tcW w:w="2500" w:type="pct"/>
            <w:shd w:val="clear" w:color="auto" w:fill="0070C0"/>
          </w:tcPr>
          <w:p w14:paraId="315157CE" w14:textId="77777777" w:rsidR="00491D0A" w:rsidRPr="008E18CD" w:rsidRDefault="00491D0A" w:rsidP="008E18C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8E18CD">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8E18CD" w:rsidRDefault="00491D0A" w:rsidP="008E18CD">
            <w:pPr>
              <w:keepNext/>
              <w:spacing w:before="20" w:after="20"/>
              <w:jc w:val="center"/>
              <w:rPr>
                <w:rFonts w:cstheme="minorHAnsi"/>
                <w:b w:val="0"/>
                <w:sz w:val="16"/>
                <w:szCs w:val="16"/>
              </w:rPr>
            </w:pPr>
            <w:r w:rsidRPr="008E18CD">
              <w:rPr>
                <w:rFonts w:cstheme="minorHAnsi"/>
                <w:b w:val="0"/>
                <w:sz w:val="16"/>
                <w:szCs w:val="16"/>
              </w:rPr>
              <w:t>&lt; 99,9%</w:t>
            </w:r>
          </w:p>
        </w:tc>
        <w:tc>
          <w:tcPr>
            <w:tcW w:w="2500" w:type="pct"/>
          </w:tcPr>
          <w:p w14:paraId="371E2752" w14:textId="77777777" w:rsidR="00491D0A" w:rsidRPr="008E18CD"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8E18CD" w:rsidRDefault="00491D0A" w:rsidP="008E18CD">
            <w:pPr>
              <w:spacing w:before="20" w:after="20"/>
              <w:jc w:val="center"/>
              <w:rPr>
                <w:rFonts w:cstheme="minorHAnsi"/>
                <w:b w:val="0"/>
                <w:sz w:val="16"/>
                <w:szCs w:val="16"/>
              </w:rPr>
            </w:pPr>
            <w:r w:rsidRPr="008E18CD">
              <w:rPr>
                <w:rFonts w:cstheme="minorHAnsi"/>
                <w:b w:val="0"/>
                <w:sz w:val="16"/>
                <w:szCs w:val="16"/>
              </w:rPr>
              <w:t>&lt; 99%</w:t>
            </w:r>
          </w:p>
        </w:tc>
        <w:tc>
          <w:tcPr>
            <w:tcW w:w="2500" w:type="pct"/>
          </w:tcPr>
          <w:p w14:paraId="7DD34A5C" w14:textId="77777777" w:rsidR="00491D0A" w:rsidRPr="008E18CD"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25%</w:t>
            </w:r>
          </w:p>
        </w:tc>
      </w:tr>
    </w:tbl>
    <w:p w14:paraId="406EF9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004D553" w14:textId="77777777" w:rsidR="00491D0A" w:rsidRPr="00EF7CF9" w:rsidRDefault="00491D0A" w:rsidP="00F01ED6">
      <w:pPr>
        <w:pStyle w:val="ProductList-Offering2Heading"/>
        <w:tabs>
          <w:tab w:val="clear" w:pos="360"/>
          <w:tab w:val="clear" w:pos="720"/>
          <w:tab w:val="clear" w:pos="1080"/>
        </w:tabs>
        <w:outlineLvl w:val="2"/>
      </w:pPr>
      <w:bookmarkStart w:id="185" w:name="_Toc182409642"/>
      <w:r>
        <w:t>Rede de Distribuição de Conteúdos (CDN)</w:t>
      </w:r>
      <w:bookmarkEnd w:id="185"/>
    </w:p>
    <w:p w14:paraId="3478C418" w14:textId="7A50E535" w:rsidR="00491D0A" w:rsidRDefault="00EE6E3C" w:rsidP="00F01ED6">
      <w:pPr>
        <w:pStyle w:val="ProductList-Body"/>
        <w:rPr>
          <w:b/>
          <w:color w:val="00188F"/>
        </w:rPr>
      </w:pPr>
      <w:r>
        <w:rPr>
          <w:b/>
          <w:color w:val="00188F"/>
        </w:rPr>
        <w:t>Cálculo do Período de Disponibilidade e Níveis de Serviço para o Serviço CDN</w:t>
      </w:r>
    </w:p>
    <w:p w14:paraId="180798A0" w14:textId="77777777" w:rsidR="00491D0A" w:rsidRPr="00EF7CF9" w:rsidRDefault="00491D0A" w:rsidP="00F01ED6">
      <w:pPr>
        <w:pStyle w:val="ProductList-Body"/>
      </w:pPr>
      <w:r>
        <w:t>A Microsoft analisará os dados de qualquer sistema de medição independente razoável do ponto de vista comercial utilizado pelo Cliente.</w:t>
      </w:r>
    </w:p>
    <w:p w14:paraId="7676E5AC" w14:textId="77777777" w:rsidR="00491D0A" w:rsidRPr="00B06E74" w:rsidRDefault="00491D0A" w:rsidP="00F01ED6">
      <w:pPr>
        <w:pStyle w:val="ProductList-Body"/>
        <w:rPr>
          <w:sz w:val="12"/>
          <w:szCs w:val="12"/>
        </w:rPr>
      </w:pPr>
    </w:p>
    <w:p w14:paraId="4A55F67D" w14:textId="77777777" w:rsidR="00491D0A" w:rsidRPr="00EF7CF9" w:rsidRDefault="00491D0A" w:rsidP="00F01ED6">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5EDDEEC0" w14:textId="77777777" w:rsidR="00491D0A" w:rsidRPr="00B06E74" w:rsidRDefault="00491D0A" w:rsidP="00F01ED6">
      <w:pPr>
        <w:pStyle w:val="ProductList-Body"/>
        <w:rPr>
          <w:sz w:val="12"/>
          <w:szCs w:val="12"/>
        </w:rPr>
      </w:pPr>
    </w:p>
    <w:p w14:paraId="031D37AF" w14:textId="77777777" w:rsidR="00491D0A" w:rsidRPr="00EF7CF9" w:rsidRDefault="00491D0A" w:rsidP="00F01ED6">
      <w:pPr>
        <w:pStyle w:val="ProductList-Body"/>
      </w:pPr>
      <w:r>
        <w:t>Os testes do Sistema de Medição (frequência de pelo menos um teste por hora por agente) serão configurados para executar uma operação HTTP GET de acordo com o modelo abaixo:</w:t>
      </w:r>
    </w:p>
    <w:p w14:paraId="12EDF8B0" w14:textId="43E22733" w:rsidR="00491D0A" w:rsidRPr="00EF7CF9" w:rsidRDefault="00491D0A" w:rsidP="00F01ED6">
      <w:pPr>
        <w:pStyle w:val="ProductList-Body"/>
        <w:numPr>
          <w:ilvl w:val="0"/>
          <w:numId w:val="2"/>
        </w:numPr>
        <w:ind w:left="720" w:hanging="360"/>
      </w:pPr>
      <w:r>
        <w:t>Um ficheiro de teste será colocado na origem do Cliente (por exemplo, conta de Armazenamento do Azure).</w:t>
      </w:r>
    </w:p>
    <w:p w14:paraId="4E6A2FB0" w14:textId="77777777" w:rsidR="00491D0A" w:rsidRPr="00EF7CF9" w:rsidRDefault="00491D0A" w:rsidP="00F01ED6">
      <w:pPr>
        <w:pStyle w:val="ProductList-Body"/>
        <w:numPr>
          <w:ilvl w:val="0"/>
          <w:numId w:val="2"/>
        </w:numPr>
        <w:ind w:left="720" w:hanging="360"/>
      </w:pPr>
      <w:r>
        <w:t xml:space="preserve">A operação GET obterá o ficheiro através do Serviço CDN, pedindo o objeto do nome do anfitrião correspondente ao nome de domínio do Microsoft Azure. </w:t>
      </w:r>
    </w:p>
    <w:p w14:paraId="5AB442CF" w14:textId="77777777" w:rsidR="00491D0A" w:rsidRPr="00EF7CF9" w:rsidRDefault="00491D0A" w:rsidP="00F01ED6">
      <w:pPr>
        <w:pStyle w:val="ProductList-Body"/>
        <w:numPr>
          <w:ilvl w:val="0"/>
          <w:numId w:val="2"/>
        </w:numPr>
        <w:ind w:left="720" w:hanging="360"/>
      </w:pPr>
      <w:r>
        <w:t>O ficheiro de teste cumprirá os seguintes critérios:</w:t>
      </w:r>
    </w:p>
    <w:p w14:paraId="5073F12A" w14:textId="7DB1C82C" w:rsidR="00491D0A" w:rsidRPr="00EF7CF9" w:rsidRDefault="00491D0A" w:rsidP="00F01ED6">
      <w:pPr>
        <w:pStyle w:val="ProductList-Body"/>
        <w:numPr>
          <w:ilvl w:val="0"/>
          <w:numId w:val="3"/>
        </w:numPr>
        <w:tabs>
          <w:tab w:val="clear" w:pos="360"/>
          <w:tab w:val="clear" w:pos="720"/>
        </w:tabs>
        <w:ind w:hanging="360"/>
      </w:pPr>
      <w:r>
        <w:t xml:space="preserve">O objeto de teste permitirá colocar em cache incluindo os cabeçalhos explícitos </w:t>
      </w:r>
      <w:r w:rsidR="00380305">
        <w:t>“</w:t>
      </w:r>
      <w:r>
        <w:t>Controlo da cache: público</w:t>
      </w:r>
      <w:r w:rsidR="00380305">
        <w:t>”</w:t>
      </w:r>
      <w:r>
        <w:t xml:space="preserve"> ou a falta do cabeçalho </w:t>
      </w:r>
      <w:r w:rsidR="00380305">
        <w:t>“</w:t>
      </w:r>
      <w:r>
        <w:t>Controlo da cache: privado</w:t>
      </w:r>
      <w:r w:rsidR="00380305">
        <w:t>”</w:t>
      </w:r>
      <w:r>
        <w:t>.</w:t>
      </w:r>
    </w:p>
    <w:p w14:paraId="0AF7BCAA" w14:textId="77777777" w:rsidR="00491D0A" w:rsidRPr="00EF7CF9" w:rsidRDefault="00491D0A" w:rsidP="00F01ED6">
      <w:pPr>
        <w:pStyle w:val="ProductList-Body"/>
        <w:numPr>
          <w:ilvl w:val="0"/>
          <w:numId w:val="3"/>
        </w:numPr>
        <w:tabs>
          <w:tab w:val="clear" w:pos="360"/>
          <w:tab w:val="clear" w:pos="720"/>
        </w:tabs>
        <w:ind w:hanging="360"/>
      </w:pPr>
      <w:r>
        <w:t>O objeto de teste será um ficheiro com um tamanho entre 50 KB e 1 MB.</w:t>
      </w:r>
    </w:p>
    <w:p w14:paraId="5D0D8884" w14:textId="77777777" w:rsidR="00491D0A" w:rsidRPr="00EF7CF9" w:rsidRDefault="00491D0A" w:rsidP="00F01ED6">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p>
    <w:p w14:paraId="6B3B2A15" w14:textId="77777777" w:rsidR="00491D0A" w:rsidRPr="00B06E74" w:rsidRDefault="00491D0A" w:rsidP="00F01ED6">
      <w:pPr>
        <w:pStyle w:val="ProductList-Body"/>
        <w:rPr>
          <w:sz w:val="12"/>
          <w:szCs w:val="12"/>
        </w:rPr>
      </w:pPr>
    </w:p>
    <w:p w14:paraId="57CA6AAD" w14:textId="608796EC" w:rsidR="00491D0A" w:rsidRPr="00EF7CF9" w:rsidRDefault="00380305" w:rsidP="00F01ED6">
      <w:pPr>
        <w:pStyle w:val="ProductList-Body"/>
      </w:pPr>
      <w:r w:rsidRPr="00380305">
        <w:t>“</w:t>
      </w:r>
      <w:r w:rsidR="00491D0A">
        <w:rPr>
          <w:b/>
          <w:color w:val="00188F"/>
        </w:rPr>
        <w:t>Percentagem de Período de Disponibilidade</w:t>
      </w:r>
      <w:r>
        <w:t>”</w:t>
      </w:r>
      <w:r w:rsidR="00491D0A">
        <w:t xml:space="preserve"> é a percentagem de transações de HTTP em que o CDN responde aos pedidos de cliente e fornece o</w:t>
      </w:r>
      <w:r w:rsidR="00336C28">
        <w:t> </w:t>
      </w:r>
      <w:r w:rsidR="00491D0A">
        <w:t>conteúdo pedido sem erro. A Percentagem de Período de Disponibilidade do Serviço CDN é calculada como o número de vezes que o objeto foi fornecido com êxito a dividir pelo número total de pedidos (depois de remover dados incorretos.</w:t>
      </w:r>
    </w:p>
    <w:p w14:paraId="0B6B6337" w14:textId="77777777" w:rsidR="00491D0A" w:rsidRPr="00B06E74" w:rsidRDefault="00491D0A" w:rsidP="00F01ED6">
      <w:pPr>
        <w:pStyle w:val="ProductList-Body"/>
        <w:rPr>
          <w:sz w:val="12"/>
          <w:szCs w:val="12"/>
        </w:rPr>
      </w:pPr>
    </w:p>
    <w:p w14:paraId="31C9EBD4" w14:textId="77777777" w:rsidR="00491D0A" w:rsidRPr="00EF7CF9" w:rsidRDefault="00491D0A" w:rsidP="00F01ED6">
      <w:pPr>
        <w:pStyle w:val="ProductList-Body"/>
        <w:keepNext/>
      </w:pPr>
      <w:r>
        <w:rPr>
          <w:b/>
          <w:color w:val="00188F"/>
        </w:rPr>
        <w:t>Os seguintes Níveis de Serviço e Créditos de Serviço são aplicáveis à utilização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A60ED2" w14:textId="77777777" w:rsidR="00491D0A" w:rsidRPr="00EF7CF9" w:rsidRDefault="00491D0A" w:rsidP="00F01ED6">
            <w:pPr>
              <w:pStyle w:val="ProductList-OfferingBody"/>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F01ED6">
            <w:pPr>
              <w:pStyle w:val="ProductList-OfferingBody"/>
              <w:jc w:val="center"/>
            </w:pPr>
            <w:r>
              <w:t>&lt; 99,9%</w:t>
            </w:r>
          </w:p>
        </w:tc>
        <w:tc>
          <w:tcPr>
            <w:tcW w:w="5400" w:type="dxa"/>
          </w:tcPr>
          <w:p w14:paraId="2A7DD81D" w14:textId="77777777" w:rsidR="00491D0A" w:rsidRPr="00EF7CF9" w:rsidRDefault="00491D0A" w:rsidP="00F01ED6">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F01ED6">
            <w:pPr>
              <w:pStyle w:val="ProductList-OfferingBody"/>
              <w:jc w:val="center"/>
            </w:pPr>
            <w:r>
              <w:t>&lt; 99,5%</w:t>
            </w:r>
          </w:p>
        </w:tc>
        <w:tc>
          <w:tcPr>
            <w:tcW w:w="5400" w:type="dxa"/>
          </w:tcPr>
          <w:p w14:paraId="4C707CCD" w14:textId="77777777" w:rsidR="00491D0A" w:rsidRPr="00EF7CF9" w:rsidRDefault="00491D0A" w:rsidP="00F01ED6">
            <w:pPr>
              <w:pStyle w:val="ProductList-OfferingBody"/>
              <w:jc w:val="center"/>
            </w:pPr>
            <w:r>
              <w:t>25%</w:t>
            </w:r>
          </w:p>
        </w:tc>
      </w:tr>
    </w:tbl>
    <w:p w14:paraId="5B83743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B41157E" w14:textId="459F39B0" w:rsidR="004005AF" w:rsidRPr="00EF7CF9" w:rsidRDefault="004005AF" w:rsidP="00F01ED6">
      <w:pPr>
        <w:pStyle w:val="ProductList-Offering2Heading"/>
        <w:keepNext/>
        <w:tabs>
          <w:tab w:val="clear" w:pos="360"/>
          <w:tab w:val="clear" w:pos="720"/>
          <w:tab w:val="clear" w:pos="1080"/>
        </w:tabs>
        <w:outlineLvl w:val="2"/>
      </w:pPr>
      <w:bookmarkStart w:id="186" w:name="_Toc182409643"/>
      <w:r>
        <w:t>Azure Cosmos DB</w:t>
      </w:r>
      <w:bookmarkEnd w:id="147"/>
      <w:bookmarkEnd w:id="182"/>
      <w:bookmarkEnd w:id="186"/>
    </w:p>
    <w:bookmarkEnd w:id="183"/>
    <w:p w14:paraId="6AE25B56" w14:textId="77777777" w:rsidR="004005AF" w:rsidRPr="00401AE7" w:rsidRDefault="004005AF" w:rsidP="00F01ED6">
      <w:pPr>
        <w:pStyle w:val="ProductList-Body"/>
        <w:rPr>
          <w:bCs/>
          <w:color w:val="000000" w:themeColor="text1"/>
        </w:rPr>
      </w:pPr>
      <w:r>
        <w:rPr>
          <w:bCs/>
          <w:color w:val="000000" w:themeColor="text1"/>
        </w:rPr>
        <w:t>Os detalhes do SLA enumerados para o serviço Azure Cosmos DB incluem as seguintes APIs de base de dados com diferentes definições e detalhes para a API para PostgreSQL das APIs de base de dados restantes:</w:t>
      </w:r>
    </w:p>
    <w:p w14:paraId="08D6E6E9" w14:textId="77777777" w:rsidR="004005AF" w:rsidRDefault="004005AF" w:rsidP="00F01ED6">
      <w:pPr>
        <w:pStyle w:val="ProductList-Body"/>
        <w:numPr>
          <w:ilvl w:val="0"/>
          <w:numId w:val="16"/>
        </w:numPr>
        <w:rPr>
          <w:bCs/>
          <w:color w:val="000000" w:themeColor="text1"/>
        </w:rPr>
      </w:pPr>
      <w:r>
        <w:rPr>
          <w:bCs/>
          <w:color w:val="000000" w:themeColor="text1"/>
        </w:rPr>
        <w:t>Azure Cosmos DB for PostgreSQL</w:t>
      </w:r>
    </w:p>
    <w:p w14:paraId="6FDF4FCD" w14:textId="51AF9A8D" w:rsidR="009A306C" w:rsidRPr="00401AE7" w:rsidRDefault="009A306C" w:rsidP="00F01ED6">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NoSQL</w:t>
      </w:r>
    </w:p>
    <w:p w14:paraId="3E4C3F17" w14:textId="2AE0A4CE" w:rsidR="004005AF" w:rsidRPr="00401AE7" w:rsidRDefault="004005AF" w:rsidP="00F01ED6">
      <w:pPr>
        <w:pStyle w:val="ProductList-Body"/>
        <w:numPr>
          <w:ilvl w:val="0"/>
          <w:numId w:val="16"/>
        </w:numPr>
        <w:rPr>
          <w:bCs/>
          <w:color w:val="000000" w:themeColor="text1"/>
        </w:rPr>
      </w:pPr>
      <w:r>
        <w:rPr>
          <w:bCs/>
          <w:color w:val="000000" w:themeColor="text1"/>
        </w:rPr>
        <w:t>Azure Cosmos DB for MongoDB</w:t>
      </w:r>
      <w:r w:rsidR="009A306C">
        <w:rPr>
          <w:bCs/>
          <w:color w:val="000000" w:themeColor="text1"/>
        </w:rPr>
        <w:t xml:space="preserve"> RU</w:t>
      </w:r>
    </w:p>
    <w:p w14:paraId="0E1D327F"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B06E74" w:rsidRDefault="004005AF" w:rsidP="00F01ED6">
      <w:pPr>
        <w:pStyle w:val="ProductList-Body"/>
        <w:rPr>
          <w:b/>
          <w:color w:val="00188F"/>
          <w:sz w:val="12"/>
          <w:szCs w:val="12"/>
        </w:rPr>
      </w:pPr>
    </w:p>
    <w:p w14:paraId="3709F8C1" w14:textId="77777777" w:rsidR="004005AF" w:rsidRDefault="004005AF" w:rsidP="00F01ED6">
      <w:pPr>
        <w:pStyle w:val="ProductList-Body"/>
        <w:rPr>
          <w:b/>
          <w:color w:val="00188F"/>
        </w:rPr>
      </w:pPr>
      <w:r>
        <w:rPr>
          <w:b/>
          <w:color w:val="00188F"/>
        </w:rPr>
        <w:t>Microsoft Azure Cosmos DB for PostgreSQL</w:t>
      </w:r>
    </w:p>
    <w:p w14:paraId="1498DE2E" w14:textId="5C8022FA" w:rsidR="004005AF" w:rsidRPr="00AC11E3" w:rsidRDefault="00380305" w:rsidP="00F01ED6">
      <w:pPr>
        <w:pStyle w:val="ProductList-Body"/>
        <w:rPr>
          <w:bCs/>
          <w:color w:val="000000" w:themeColor="text1"/>
        </w:rPr>
      </w:pPr>
      <w:r w:rsidRPr="00380305">
        <w:t>“</w:t>
      </w:r>
      <w:r w:rsidR="004005AF">
        <w:rPr>
          <w:b/>
          <w:color w:val="00188F"/>
        </w:rPr>
        <w:t>Servidor</w:t>
      </w:r>
      <w:r w:rsidRPr="00380305">
        <w:t>”</w:t>
      </w:r>
      <w:r w:rsidR="004005AF">
        <w:rPr>
          <w:bCs/>
          <w:color w:val="000000" w:themeColor="text1"/>
        </w:rPr>
        <w:t xml:space="preserve"> designa qualquer servidor específico do Azure Cosmos DB for PostgreSQL.</w:t>
      </w:r>
    </w:p>
    <w:p w14:paraId="47904AED" w14:textId="39D5A5E1" w:rsidR="004005AF" w:rsidRPr="00AC11E3" w:rsidRDefault="00380305" w:rsidP="00F01ED6">
      <w:pPr>
        <w:pStyle w:val="ProductList-Body"/>
        <w:rPr>
          <w:bCs/>
          <w:color w:val="000000" w:themeColor="text1"/>
        </w:rPr>
      </w:pPr>
      <w:r w:rsidRPr="00380305">
        <w:t>“</w:t>
      </w:r>
      <w:r w:rsidR="004005AF">
        <w:rPr>
          <w:b/>
          <w:color w:val="00188F"/>
        </w:rPr>
        <w:t>Cluster de Elevada Disponibilidade</w:t>
      </w:r>
      <w:r w:rsidRPr="00380305">
        <w:t>”</w:t>
      </w:r>
      <w:r w:rsidR="004005AF">
        <w:rPr>
          <w:bCs/>
          <w:color w:val="000000" w:themeColor="text1"/>
        </w:rPr>
        <w:t xml:space="preserve"> designa um conjunto de Nós de Elevada Disponibilidade.</w:t>
      </w:r>
    </w:p>
    <w:p w14:paraId="05973321" w14:textId="60A58F59" w:rsidR="004005AF" w:rsidRPr="00AC11E3" w:rsidRDefault="00380305" w:rsidP="00F01ED6">
      <w:pPr>
        <w:pStyle w:val="ProductList-Body"/>
        <w:rPr>
          <w:bCs/>
          <w:color w:val="000000" w:themeColor="text1"/>
        </w:rPr>
      </w:pPr>
      <w:r w:rsidRPr="00380305">
        <w:t>“</w:t>
      </w:r>
      <w:r w:rsidR="004005AF">
        <w:rPr>
          <w:b/>
          <w:color w:val="00188F"/>
        </w:rPr>
        <w:t>Nó de Elevada Disponibilidade</w:t>
      </w:r>
      <w:r w:rsidRPr="00380305">
        <w:t>”</w:t>
      </w:r>
      <w:r w:rsidR="004005AF">
        <w:rPr>
          <w:bCs/>
          <w:color w:val="000000" w:themeColor="text1"/>
        </w:rPr>
        <w:t xml:space="preserve"> designa um Nó num cluster, com elevada disponibilidade ativada.</w:t>
      </w:r>
    </w:p>
    <w:p w14:paraId="149121FA" w14:textId="15ABCD16" w:rsidR="004005AF" w:rsidRPr="00AC11E3" w:rsidRDefault="00380305" w:rsidP="00F01ED6">
      <w:pPr>
        <w:pStyle w:val="ProductList-Body"/>
        <w:rPr>
          <w:bCs/>
          <w:color w:val="000000" w:themeColor="text1"/>
        </w:rPr>
      </w:pPr>
      <w:r w:rsidRPr="00380305">
        <w:t>“</w:t>
      </w:r>
      <w:r w:rsidR="004005AF">
        <w:rPr>
          <w:b/>
          <w:color w:val="00188F"/>
        </w:rPr>
        <w:t>Nó Coordenador</w:t>
      </w:r>
      <w:r w:rsidRPr="00380305">
        <w:t>”</w:t>
      </w:r>
      <w:r w:rsidR="004005AF">
        <w:rPr>
          <w:bCs/>
          <w:color w:val="000000" w:themeColor="text1"/>
        </w:rPr>
        <w:t xml:space="preserve"> é um Nó que é atribuído à função de Coordenador do Cluster.</w:t>
      </w:r>
    </w:p>
    <w:p w14:paraId="1ED13503" w14:textId="523DCB24" w:rsidR="004005AF" w:rsidRPr="00AC11E3" w:rsidRDefault="00380305" w:rsidP="00F01ED6">
      <w:pPr>
        <w:pStyle w:val="ProductList-Body"/>
        <w:rPr>
          <w:bCs/>
          <w:color w:val="000000" w:themeColor="text1"/>
        </w:rPr>
      </w:pPr>
      <w:r w:rsidRPr="00380305">
        <w:t>“</w:t>
      </w:r>
      <w:r w:rsidR="004005AF">
        <w:rPr>
          <w:b/>
          <w:color w:val="00188F"/>
        </w:rPr>
        <w:t>Nó de Trabalho</w:t>
      </w:r>
      <w:r w:rsidRPr="00380305">
        <w:t>”</w:t>
      </w:r>
      <w:r w:rsidR="004005AF">
        <w:rPr>
          <w:bCs/>
          <w:color w:val="000000" w:themeColor="text1"/>
        </w:rPr>
        <w:t xml:space="preserve"> é um Nó que é atribuído à função de Trabalho.</w:t>
      </w:r>
    </w:p>
    <w:p w14:paraId="5AEB689D" w14:textId="35F29574" w:rsidR="004005AF" w:rsidRPr="00AC11E3" w:rsidRDefault="00380305" w:rsidP="00F01ED6">
      <w:pPr>
        <w:pStyle w:val="ProductList-Body"/>
        <w:rPr>
          <w:bCs/>
          <w:color w:val="000000" w:themeColor="text1"/>
        </w:rPr>
      </w:pPr>
      <w:r w:rsidRPr="00380305">
        <w:t>“</w:t>
      </w:r>
      <w:r w:rsidR="004005AF">
        <w:rPr>
          <w:b/>
          <w:color w:val="00188F"/>
        </w:rPr>
        <w:t>Nó</w:t>
      </w:r>
      <w:r w:rsidRPr="00380305">
        <w:t>”</w:t>
      </w:r>
      <w:r w:rsidR="004005AF">
        <w:rPr>
          <w:bCs/>
          <w:color w:val="000000" w:themeColor="text1"/>
        </w:rPr>
        <w:t xml:space="preserve"> ou </w:t>
      </w:r>
      <w:r w:rsidRPr="00380305">
        <w:t>“</w:t>
      </w:r>
      <w:r w:rsidR="004005AF">
        <w:rPr>
          <w:b/>
          <w:color w:val="00188F"/>
        </w:rPr>
        <w:t>Nós</w:t>
      </w:r>
      <w:r w:rsidRPr="00380305">
        <w:t>”</w:t>
      </w:r>
      <w:r w:rsidR="004005AF">
        <w:rPr>
          <w:bCs/>
          <w:color w:val="000000" w:themeColor="text1"/>
        </w:rPr>
        <w:t xml:space="preserve"> é um nó de Coordenador ou Trabalhador do Azure Cosmos DB for PostgreSQL.</w:t>
      </w:r>
    </w:p>
    <w:p w14:paraId="1419358A" w14:textId="77777777" w:rsidR="004005AF" w:rsidRPr="00B06E74" w:rsidRDefault="004005AF" w:rsidP="00F01ED6">
      <w:pPr>
        <w:pStyle w:val="ProductList-Body"/>
        <w:rPr>
          <w:bCs/>
          <w:color w:val="000000" w:themeColor="text1"/>
          <w:sz w:val="12"/>
          <w:szCs w:val="12"/>
        </w:rPr>
      </w:pPr>
    </w:p>
    <w:p w14:paraId="2627B531" w14:textId="2F0782A0" w:rsidR="004005AF" w:rsidRPr="00401AE7" w:rsidRDefault="00EE6E3C" w:rsidP="00C55C00">
      <w:pPr>
        <w:pStyle w:val="ProductList-Body"/>
        <w:keepNext/>
        <w:keepLines/>
        <w:rPr>
          <w:b/>
          <w:color w:val="00188F"/>
        </w:rPr>
      </w:pPr>
      <w:r>
        <w:rPr>
          <w:b/>
          <w:color w:val="00188F"/>
        </w:rPr>
        <w:t>Cálculo do Período de Disponibilidade e Níveis de Serviço para o Microsoft Azure Cosmos DB for PostgreSQL – Nó de Elevada Disponibilidade</w:t>
      </w:r>
    </w:p>
    <w:p w14:paraId="5C5EEC45" w14:textId="4E179ABB" w:rsidR="004005AF" w:rsidRPr="00AC11E3" w:rsidRDefault="00380305" w:rsidP="00F01ED6">
      <w:pPr>
        <w:pStyle w:val="ProductList-Body"/>
        <w:rPr>
          <w:bCs/>
          <w:color w:val="000000" w:themeColor="text1"/>
        </w:rPr>
      </w:pPr>
      <w:r w:rsidRPr="00380305">
        <w:t>“</w:t>
      </w:r>
      <w:r w:rsidR="004005AF">
        <w:rPr>
          <w:b/>
          <w:color w:val="00188F"/>
        </w:rPr>
        <w:t>Máximo de Minutos Disponíveis</w:t>
      </w:r>
      <w:r w:rsidRPr="00380305">
        <w:t>”</w:t>
      </w:r>
      <w:r w:rsidR="004005AF">
        <w:rPr>
          <w:bCs/>
          <w:color w:val="00188F"/>
        </w:rPr>
        <w:t xml:space="preserve"> </w:t>
      </w:r>
      <w:r w:rsidR="004005AF">
        <w:rPr>
          <w:bCs/>
          <w:color w:val="000000" w:themeColor="text1"/>
        </w:rPr>
        <w:t>designa o número total de minutos para um determinado Nó de Elevada Disponibilidade implementado pelo Cliente numa subscrição do Microsoft Azure durante um Período Aplicável.</w:t>
      </w:r>
    </w:p>
    <w:p w14:paraId="409AFA3E" w14:textId="5F0C5916" w:rsidR="004005AF" w:rsidRPr="00AC11E3" w:rsidRDefault="00380305" w:rsidP="00F01ED6">
      <w:pPr>
        <w:pStyle w:val="ProductList-Body"/>
        <w:rPr>
          <w:bCs/>
          <w:color w:val="000000" w:themeColor="text1"/>
        </w:rPr>
      </w:pPr>
      <w:r w:rsidRPr="00380305">
        <w:t>“</w:t>
      </w:r>
      <w:r w:rsidR="004005AF">
        <w:rPr>
          <w:b/>
          <w:color w:val="00188F"/>
        </w:rPr>
        <w:t>Período de Indisponibilidade</w:t>
      </w:r>
      <w:r w:rsidRPr="00380305">
        <w:t>”</w:t>
      </w:r>
      <w:r w:rsidR="004005AF">
        <w:rPr>
          <w:bCs/>
          <w:color w:val="000000" w:themeColor="text1"/>
        </w:rPr>
        <w:t xml:space="preserve"> designa o número total de minutos no Máximo de Minutos Disponíveis durante o qual um Nó está indisponível. Um</w:t>
      </w:r>
      <w:r w:rsidR="00431263">
        <w:rPr>
          <w:bCs/>
          <w:color w:val="000000" w:themeColor="text1"/>
        </w:rPr>
        <w:t> </w:t>
      </w:r>
      <w:r w:rsidR="004005AF">
        <w:rPr>
          <w:bCs/>
          <w:color w:val="000000" w:themeColor="text1"/>
        </w:rPr>
        <w:t>minuto é considerado indisponível se todas as tentativas contínuas por parte do Cliente para estabelecer ligação ao Nó devolveram um Código de Erro ou não responderam ao fim de um minuto. Um minuto também é considerado indisponível para um Nó de Trabalho se o respetivo Nó de Coordenador tiver estado indisponível durante o minuto.</w:t>
      </w:r>
    </w:p>
    <w:p w14:paraId="147EFAF0" w14:textId="0396679C" w:rsidR="004005AF" w:rsidRPr="00AC11E3"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o Nó de Elevada Disponibilidade do Azure Cosmos DB for PostgreSQL é calculada como o</w:t>
      </w:r>
      <w:r w:rsidR="00147224">
        <w:rPr>
          <w:bCs/>
          <w:color w:val="000000" w:themeColor="text1"/>
        </w:rPr>
        <w:t> </w:t>
      </w:r>
      <w:r>
        <w:rPr>
          <w:bCs/>
          <w:color w:val="000000" w:themeColor="text1"/>
        </w:rPr>
        <w:t>Máximo de Minutos Disponíveis menos o Período de Indisponibilidade a dividir pelo Máximo de Minutos Disponíveis.</w:t>
      </w:r>
    </w:p>
    <w:p w14:paraId="1090E03A" w14:textId="047E8E92" w:rsidR="004005AF" w:rsidRDefault="004005AF" w:rsidP="00F01ED6">
      <w:pPr>
        <w:pStyle w:val="ProductList-Body"/>
      </w:pPr>
      <w:r>
        <w:t>A Percentagem de Período de Disponibilidade é calculada através da seguinte fórmula:</w:t>
      </w:r>
    </w:p>
    <w:p w14:paraId="20F6CFCA" w14:textId="77777777" w:rsidR="004005AF" w:rsidRPr="00B06E74" w:rsidRDefault="004005AF" w:rsidP="00F01ED6">
      <w:pPr>
        <w:pStyle w:val="ProductList-Body"/>
        <w:rPr>
          <w:bCs/>
          <w:color w:val="00188F"/>
          <w:sz w:val="12"/>
          <w:szCs w:val="12"/>
        </w:rPr>
      </w:pPr>
    </w:p>
    <w:p w14:paraId="378E2D22" w14:textId="65B05FAA" w:rsidR="004005AF" w:rsidRPr="00AC11E3" w:rsidRDefault="00000000" w:rsidP="00C55C00">
      <w:pPr>
        <w:pStyle w:val="ProductList-Body"/>
        <w:spacing w:after="160"/>
        <w:rPr>
          <w:bCs/>
          <w:color w:val="00188F"/>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42A770C0" w14:textId="77777777" w:rsidR="004005AF" w:rsidRPr="00491D0A" w:rsidRDefault="004005AF" w:rsidP="00F01ED6">
      <w:pPr>
        <w:pStyle w:val="ProductList-Body"/>
        <w:keepNext/>
        <w:spacing w:before="120"/>
        <w:rPr>
          <w:b/>
          <w:bCs/>
          <w:color w:val="00188F"/>
        </w:rPr>
      </w:pPr>
      <w:r>
        <w:rPr>
          <w:rFonts w:ascii="Calibri" w:hAnsi="Calibri" w:cs="Calibri"/>
          <w:b/>
          <w:bCs/>
          <w:color w:val="00188F"/>
          <w:shd w:val="clear" w:color="auto" w:fill="FFFFFF"/>
        </w:rPr>
        <w:t>Os seguintes Níveis de Serviço e Crédito de Serviço são aplicáveis à utilização que o Cliente faz do Nó de Elevada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39EE9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F01ED6">
            <w:pPr>
              <w:pStyle w:val="ProductList-OfferingBody"/>
              <w:jc w:val="center"/>
            </w:pPr>
            <w:r>
              <w:t>&lt; 99,99%</w:t>
            </w:r>
          </w:p>
        </w:tc>
        <w:tc>
          <w:tcPr>
            <w:tcW w:w="5400" w:type="dxa"/>
          </w:tcPr>
          <w:p w14:paraId="6E2D2625" w14:textId="77777777" w:rsidR="004005AF" w:rsidRPr="0076238C" w:rsidRDefault="004005AF" w:rsidP="00F01ED6">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F01ED6">
            <w:pPr>
              <w:pStyle w:val="ProductList-OfferingBody"/>
              <w:jc w:val="center"/>
            </w:pPr>
            <w:r>
              <w:t>&lt; 99%</w:t>
            </w:r>
          </w:p>
        </w:tc>
        <w:tc>
          <w:tcPr>
            <w:tcW w:w="5400" w:type="dxa"/>
          </w:tcPr>
          <w:p w14:paraId="029E052E" w14:textId="77777777" w:rsidR="004005AF" w:rsidRPr="0076238C" w:rsidRDefault="004005AF" w:rsidP="00F01ED6">
            <w:pPr>
              <w:pStyle w:val="ProductList-OfferingBody"/>
              <w:jc w:val="center"/>
            </w:pPr>
            <w:r>
              <w:t>25%</w:t>
            </w:r>
          </w:p>
        </w:tc>
      </w:tr>
    </w:tbl>
    <w:p w14:paraId="42D537AA" w14:textId="77777777" w:rsidR="005E5097" w:rsidRPr="001D33C6" w:rsidRDefault="005E5097" w:rsidP="00B06E74">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08C558CA"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Servidor</w:t>
      </w:r>
      <w:r w:rsidRPr="00D9200D">
        <w:rPr>
          <w:rFonts w:ascii="Calibri" w:eastAsia="Times New Roman" w:hAnsi="Calibri" w:cs="Calibri"/>
          <w:sz w:val="18"/>
          <w:szCs w:val="18"/>
        </w:rPr>
        <w:t>”</w:t>
      </w:r>
      <w:r>
        <w:rPr>
          <w:rFonts w:ascii="Calibri" w:eastAsia="Times New Roman" w:hAnsi="Calibri" w:cs="Calibri"/>
          <w:sz w:val="18"/>
          <w:szCs w:val="18"/>
        </w:rPr>
        <w:t xml:space="preserve"> designa qualquer servidor específico do Azure Cosmos DB for MongoDB vCore.</w:t>
      </w:r>
    </w:p>
    <w:p w14:paraId="15EC03AB"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Cluster de Elevada 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um conjunto de Nós de Elevada Disponibilidade.</w:t>
      </w:r>
    </w:p>
    <w:p w14:paraId="1A557923"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Nó de Elevada 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um Nó num cluster, com elevada disponibilidade ativada.</w:t>
      </w:r>
    </w:p>
    <w:p w14:paraId="5C14E82A" w14:textId="77777777" w:rsidR="005E5097" w:rsidRPr="00B06E74" w:rsidRDefault="005E5097" w:rsidP="005E5097">
      <w:pPr>
        <w:spacing w:after="0" w:line="240" w:lineRule="auto"/>
        <w:textAlignment w:val="baseline"/>
        <w:rPr>
          <w:rFonts w:ascii="Calibri" w:eastAsia="Times New Roman" w:hAnsi="Calibri" w:cs="Calibri"/>
          <w:sz w:val="12"/>
          <w:szCs w:val="12"/>
        </w:rPr>
      </w:pPr>
    </w:p>
    <w:p w14:paraId="291B72CB" w14:textId="77777777" w:rsidR="005E5097" w:rsidRPr="001D33C6" w:rsidRDefault="005E5097" w:rsidP="005E5097">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Cálculo do Período de Disponibilidade e Níveis de Serviço para o Microsoft Azure Cosmos DB for MongoDB vCore – Nó de Elevada Disponibilidade</w:t>
      </w:r>
    </w:p>
    <w:p w14:paraId="1D0F9FED"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sidRPr="00D9200D">
        <w:rPr>
          <w:rFonts w:ascii="Calibri" w:eastAsia="Times New Roman" w:hAnsi="Calibri" w:cs="Calibri"/>
          <w:sz w:val="18"/>
          <w:szCs w:val="18"/>
        </w:rPr>
        <w:t>”</w:t>
      </w:r>
      <w:r>
        <w:rPr>
          <w:rFonts w:ascii="Calibri" w:eastAsia="Times New Roman" w:hAnsi="Calibri" w:cs="Calibri"/>
          <w:sz w:val="18"/>
          <w:szCs w:val="18"/>
        </w:rPr>
        <w:t xml:space="preserve"> designa o número total de minutos para um determinado Nó de Elevada Disponibilidade implementado pelo Cliente numa subscrição do Microsoft Azure durante um Período Aplicável.</w:t>
      </w:r>
    </w:p>
    <w:p w14:paraId="7B771A31"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Período de Indisponibilidade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o número total de minutos no Máximo de Minutos Disponíveis durante o qual um Nó está indisponível. Um minuto é considerado indisponível se todas as tentativas contínuas por parte do Cliente para estabelecer ligação ao Nó devolveram um Código de Erro ou não responderam ao fim de um minuto.</w:t>
      </w:r>
    </w:p>
    <w:p w14:paraId="2334B480" w14:textId="77777777" w:rsidR="005E5097" w:rsidRPr="00D9200D" w:rsidRDefault="005E5097" w:rsidP="005E5097">
      <w:pPr>
        <w:spacing w:after="0" w:line="240" w:lineRule="auto"/>
        <w:textAlignment w:val="baseline"/>
        <w:rPr>
          <w:rFonts w:ascii="Calibri" w:eastAsia="Times New Roman" w:hAnsi="Calibri" w:cs="Calibri"/>
          <w:sz w:val="18"/>
          <w:szCs w:val="18"/>
        </w:rPr>
      </w:pPr>
      <w:r w:rsidRPr="00D9200D">
        <w:rPr>
          <w:sz w:val="18"/>
          <w:szCs w:val="18"/>
        </w:rPr>
        <w:t xml:space="preserve">A </w:t>
      </w:r>
      <w:r w:rsidRPr="00D9200D">
        <w:rPr>
          <w:rFonts w:ascii="Calibri" w:eastAsia="Times New Roman" w:hAnsi="Calibri" w:cs="Calibri"/>
          <w:sz w:val="18"/>
          <w:szCs w:val="18"/>
        </w:rPr>
        <w:t>“</w:t>
      </w:r>
      <w:r w:rsidRPr="00D9200D">
        <w:rPr>
          <w:rFonts w:ascii="Calibri" w:eastAsia="Times New Roman" w:hAnsi="Calibri" w:cs="Calibri"/>
          <w:b/>
          <w:bCs/>
          <w:color w:val="00188F"/>
          <w:sz w:val="18"/>
          <w:szCs w:val="18"/>
        </w:rPr>
        <w:t>Percentagem de Período de Disponibilidade</w:t>
      </w:r>
      <w:r w:rsidRPr="00D9200D">
        <w:rPr>
          <w:rFonts w:ascii="Calibri" w:hAnsi="Calibri" w:cs="Calibri"/>
          <w:sz w:val="18"/>
          <w:szCs w:val="18"/>
        </w:rPr>
        <w:t>”</w:t>
      </w:r>
      <w:r w:rsidRPr="00D9200D">
        <w:rPr>
          <w:rFonts w:ascii="Calibri" w:eastAsia="Times New Roman" w:hAnsi="Calibri" w:cs="Calibri"/>
          <w:sz w:val="18"/>
          <w:szCs w:val="18"/>
        </w:rPr>
        <w:t xml:space="preserve"> para o Nó de Elevada Disponibilidade do Azure Cosmos DB for MongoDB vCore é calculada como o Máximo de Minutos Disponíveis menos o Período de Indisponibilidade dividido pelo Máximo de Minutos Disponíveis.</w:t>
      </w:r>
    </w:p>
    <w:p w14:paraId="37FD5F27" w14:textId="77777777" w:rsidR="005E5097" w:rsidRPr="00B06E74" w:rsidRDefault="005E5097" w:rsidP="005E5097">
      <w:pPr>
        <w:spacing w:after="0" w:line="240" w:lineRule="auto"/>
        <w:textAlignment w:val="baseline"/>
        <w:rPr>
          <w:rFonts w:ascii="Calibri" w:eastAsia="Times New Roman" w:hAnsi="Calibri" w:cs="Calibri"/>
          <w:sz w:val="12"/>
          <w:szCs w:val="12"/>
        </w:rPr>
      </w:pPr>
    </w:p>
    <w:p w14:paraId="0E382E0B" w14:textId="77777777" w:rsidR="005E5097" w:rsidRPr="001D33C6" w:rsidRDefault="005E5097" w:rsidP="005E5097">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Percentagem de Período de Disponibilidade é calculada através da seguinte fórmula:</w:t>
      </w:r>
    </w:p>
    <w:p w14:paraId="1C4B0B6E" w14:textId="77777777" w:rsidR="005E5097" w:rsidRPr="00916FCF" w:rsidRDefault="005E5097" w:rsidP="005E5097">
      <w:pPr>
        <w:spacing w:after="0" w:line="240" w:lineRule="auto"/>
        <w:textAlignment w:val="baseline"/>
        <w:rPr>
          <w:rFonts w:eastAsia="Times New Roman" w:cstheme="minorHAnsi"/>
          <w:sz w:val="18"/>
          <w:szCs w:val="18"/>
        </w:rPr>
      </w:pPr>
    </w:p>
    <w:p w14:paraId="06022D9E" w14:textId="77777777" w:rsidR="005E5097" w:rsidRPr="00916FCF" w:rsidRDefault="00000000" w:rsidP="005E5097">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Máximo de Minutos Disponíveis-Período de Indisponibilidade</m:t>
              </m:r>
            </m:num>
            <m:den>
              <m:r>
                <m:rPr>
                  <m:nor/>
                </m:rPr>
                <w:rPr>
                  <w:rFonts w:ascii="Cambria Math" w:hAnsi="Cambria Math" w:cstheme="minorHAnsi"/>
                  <w:i/>
                  <w:szCs w:val="18"/>
                </w:rPr>
                <m:t>Máximo de Minutos Disponíveis</m:t>
              </m:r>
            </m:den>
          </m:f>
          <m:r>
            <w:rPr>
              <w:rFonts w:ascii="Cambria Math" w:hAnsi="Cambria Math" w:cstheme="minorHAnsi"/>
              <w:szCs w:val="18"/>
            </w:rPr>
            <m:t xml:space="preserve"> x 100</m:t>
          </m:r>
        </m:oMath>
      </m:oMathPara>
    </w:p>
    <w:p w14:paraId="1C9CB1C9" w14:textId="77777777" w:rsidR="005E5097" w:rsidRPr="00916FCF" w:rsidRDefault="005E5097" w:rsidP="005E5097">
      <w:pPr>
        <w:spacing w:after="0" w:line="240" w:lineRule="auto"/>
        <w:textAlignment w:val="baseline"/>
        <w:rPr>
          <w:rFonts w:eastAsia="Times New Roman" w:cstheme="minorHAnsi"/>
          <w:b/>
          <w:bCs/>
          <w:sz w:val="18"/>
          <w:szCs w:val="18"/>
          <w:shd w:val="clear" w:color="auto" w:fill="FFFFFF"/>
        </w:rPr>
      </w:pPr>
    </w:p>
    <w:p w14:paraId="425D2604" w14:textId="77777777" w:rsidR="005E5097" w:rsidRPr="001D33C6" w:rsidRDefault="005E5097" w:rsidP="005E5097">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Os seguintes Níveis de Serviço e Crédito de Serviço são aplicáveis à utilização que o Cliente faz do Nó de Elevada Disponibilidade do Microsoft Azure Cosmos DB for MongoDB vCore configurado para abranger duas ou mais regiões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5097" w:rsidRPr="001D33C6" w14:paraId="6B3652B8" w14:textId="77777777" w:rsidTr="001D5AC4">
        <w:trPr>
          <w:tblHeader/>
        </w:trPr>
        <w:tc>
          <w:tcPr>
            <w:tcW w:w="2500" w:type="pct"/>
            <w:shd w:val="clear" w:color="auto" w:fill="0072C6"/>
          </w:tcPr>
          <w:p w14:paraId="0A883190"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2500" w:type="pct"/>
            <w:shd w:val="clear" w:color="auto" w:fill="0072C6"/>
          </w:tcPr>
          <w:p w14:paraId="25E20714"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E5097" w:rsidRPr="001D33C6" w14:paraId="359058D4" w14:textId="77777777" w:rsidTr="001D5AC4">
        <w:tc>
          <w:tcPr>
            <w:tcW w:w="2500" w:type="pct"/>
          </w:tcPr>
          <w:p w14:paraId="1E104F7D" w14:textId="77777777" w:rsidR="005E5097" w:rsidRPr="001D33C6" w:rsidRDefault="005E5097" w:rsidP="001D5AC4">
            <w:pPr>
              <w:pStyle w:val="ProductList-OfferingBody"/>
              <w:jc w:val="center"/>
              <w:rPr>
                <w:rFonts w:ascii="Calibri" w:hAnsi="Calibri" w:cs="Calibri"/>
              </w:rPr>
            </w:pPr>
            <w:r>
              <w:rPr>
                <w:rFonts w:ascii="Calibri" w:hAnsi="Calibri" w:cs="Calibri"/>
              </w:rPr>
              <w:t>&lt; 99,995%</w:t>
            </w:r>
          </w:p>
        </w:tc>
        <w:tc>
          <w:tcPr>
            <w:tcW w:w="2500" w:type="pct"/>
          </w:tcPr>
          <w:p w14:paraId="72C61E96" w14:textId="77777777" w:rsidR="005E5097" w:rsidRPr="001D33C6" w:rsidRDefault="005E5097" w:rsidP="001D5AC4">
            <w:pPr>
              <w:pStyle w:val="ProductList-OfferingBody"/>
              <w:jc w:val="center"/>
              <w:rPr>
                <w:rFonts w:ascii="Calibri" w:hAnsi="Calibri" w:cs="Calibri"/>
              </w:rPr>
            </w:pPr>
            <w:r>
              <w:rPr>
                <w:rFonts w:ascii="Calibri" w:hAnsi="Calibri" w:cs="Calibri"/>
              </w:rPr>
              <w:t>10%</w:t>
            </w:r>
          </w:p>
        </w:tc>
      </w:tr>
      <w:tr w:rsidR="005E5097" w:rsidRPr="001D33C6" w14:paraId="3A801DB8" w14:textId="77777777" w:rsidTr="001D5AC4">
        <w:tc>
          <w:tcPr>
            <w:tcW w:w="2500" w:type="pct"/>
          </w:tcPr>
          <w:p w14:paraId="7DAC8C10" w14:textId="77777777" w:rsidR="005E5097" w:rsidRPr="001D33C6" w:rsidRDefault="005E5097" w:rsidP="001D5AC4">
            <w:pPr>
              <w:pStyle w:val="ProductList-OfferingBody"/>
              <w:jc w:val="center"/>
              <w:rPr>
                <w:rFonts w:ascii="Calibri" w:hAnsi="Calibri" w:cs="Calibri"/>
              </w:rPr>
            </w:pPr>
            <w:r>
              <w:rPr>
                <w:rFonts w:ascii="Calibri" w:hAnsi="Calibri" w:cs="Calibri"/>
              </w:rPr>
              <w:t>&lt; 99%</w:t>
            </w:r>
          </w:p>
        </w:tc>
        <w:tc>
          <w:tcPr>
            <w:tcW w:w="2500" w:type="pct"/>
          </w:tcPr>
          <w:p w14:paraId="5F8633DA" w14:textId="77777777" w:rsidR="005E5097" w:rsidRPr="001D33C6" w:rsidRDefault="005E5097" w:rsidP="001D5AC4">
            <w:pPr>
              <w:pStyle w:val="ProductList-OfferingBody"/>
              <w:jc w:val="center"/>
              <w:rPr>
                <w:rFonts w:ascii="Calibri" w:hAnsi="Calibri" w:cs="Calibri"/>
              </w:rPr>
            </w:pPr>
            <w:r>
              <w:rPr>
                <w:rFonts w:ascii="Calibri" w:hAnsi="Calibri" w:cs="Calibri"/>
              </w:rPr>
              <w:t>25%</w:t>
            </w:r>
          </w:p>
        </w:tc>
      </w:tr>
    </w:tbl>
    <w:p w14:paraId="6000E86B" w14:textId="77777777" w:rsidR="005E5097" w:rsidRPr="001D33C6" w:rsidRDefault="005E5097" w:rsidP="005E5097">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Os seguintes Níveis de Serviço e Crédito de Serviço são aplicáveis à utilização que o Cliente faz do Nó de Elevada Disponibilidade do Microsoft Azure Cosmos DB for MongoDB vCore destinado a uma única região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5097" w:rsidRPr="001D33C6" w14:paraId="619C4C20" w14:textId="77777777" w:rsidTr="001D5AC4">
        <w:trPr>
          <w:tblHeader/>
        </w:trPr>
        <w:tc>
          <w:tcPr>
            <w:tcW w:w="2500" w:type="pct"/>
            <w:shd w:val="clear" w:color="auto" w:fill="0072C6"/>
          </w:tcPr>
          <w:p w14:paraId="1DE14324"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2500" w:type="pct"/>
            <w:shd w:val="clear" w:color="auto" w:fill="0072C6"/>
          </w:tcPr>
          <w:p w14:paraId="65D96FA0"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E5097" w:rsidRPr="001D33C6" w14:paraId="521B5AFF" w14:textId="77777777" w:rsidTr="001D5AC4">
        <w:tc>
          <w:tcPr>
            <w:tcW w:w="2500" w:type="pct"/>
          </w:tcPr>
          <w:p w14:paraId="44216342" w14:textId="77777777" w:rsidR="005E5097" w:rsidRPr="001D33C6" w:rsidRDefault="005E5097" w:rsidP="001D5AC4">
            <w:pPr>
              <w:pStyle w:val="ProductList-OfferingBody"/>
              <w:jc w:val="center"/>
              <w:rPr>
                <w:rFonts w:ascii="Calibri" w:hAnsi="Calibri" w:cs="Calibri"/>
              </w:rPr>
            </w:pPr>
            <w:r>
              <w:rPr>
                <w:rFonts w:ascii="Calibri" w:hAnsi="Calibri" w:cs="Calibri"/>
              </w:rPr>
              <w:t>&lt; 99,99%</w:t>
            </w:r>
          </w:p>
        </w:tc>
        <w:tc>
          <w:tcPr>
            <w:tcW w:w="2500" w:type="pct"/>
          </w:tcPr>
          <w:p w14:paraId="4FE9A993" w14:textId="77777777" w:rsidR="005E5097" w:rsidRPr="001D33C6" w:rsidRDefault="005E5097" w:rsidP="001D5AC4">
            <w:pPr>
              <w:pStyle w:val="ProductList-OfferingBody"/>
              <w:jc w:val="center"/>
              <w:rPr>
                <w:rFonts w:ascii="Calibri" w:hAnsi="Calibri" w:cs="Calibri"/>
              </w:rPr>
            </w:pPr>
            <w:r>
              <w:rPr>
                <w:rFonts w:ascii="Calibri" w:hAnsi="Calibri" w:cs="Calibri"/>
              </w:rPr>
              <w:t>10%</w:t>
            </w:r>
          </w:p>
        </w:tc>
      </w:tr>
      <w:tr w:rsidR="005E5097" w:rsidRPr="001D33C6" w14:paraId="1E42D321" w14:textId="77777777" w:rsidTr="001D5AC4">
        <w:tc>
          <w:tcPr>
            <w:tcW w:w="2500" w:type="pct"/>
          </w:tcPr>
          <w:p w14:paraId="7E7EC65E" w14:textId="77777777" w:rsidR="005E5097" w:rsidRPr="001D33C6" w:rsidRDefault="005E5097" w:rsidP="001D5AC4">
            <w:pPr>
              <w:pStyle w:val="ProductList-OfferingBody"/>
              <w:jc w:val="center"/>
              <w:rPr>
                <w:rFonts w:ascii="Calibri" w:hAnsi="Calibri" w:cs="Calibri"/>
              </w:rPr>
            </w:pPr>
            <w:r>
              <w:rPr>
                <w:rFonts w:ascii="Calibri" w:hAnsi="Calibri" w:cs="Calibri"/>
              </w:rPr>
              <w:t>&lt; 99%</w:t>
            </w:r>
          </w:p>
        </w:tc>
        <w:tc>
          <w:tcPr>
            <w:tcW w:w="2500" w:type="pct"/>
          </w:tcPr>
          <w:p w14:paraId="608D0D44" w14:textId="77777777" w:rsidR="005E5097" w:rsidRPr="001D33C6" w:rsidRDefault="005E5097" w:rsidP="001D5AC4">
            <w:pPr>
              <w:pStyle w:val="ProductList-OfferingBody"/>
              <w:jc w:val="center"/>
              <w:rPr>
                <w:rFonts w:ascii="Calibri" w:hAnsi="Calibri" w:cs="Calibri"/>
              </w:rPr>
            </w:pPr>
            <w:r>
              <w:rPr>
                <w:rFonts w:ascii="Calibri" w:hAnsi="Calibri" w:cs="Calibri"/>
              </w:rPr>
              <w:t>25%</w:t>
            </w:r>
          </w:p>
        </w:tc>
      </w:tr>
    </w:tbl>
    <w:p w14:paraId="76530556" w14:textId="220D316B" w:rsidR="004005AF" w:rsidRPr="00AC11E3" w:rsidRDefault="004005AF" w:rsidP="00B06E74">
      <w:pPr>
        <w:pStyle w:val="ProductList-Body"/>
        <w:spacing w:before="120"/>
        <w:rPr>
          <w:b/>
          <w:color w:val="00188F"/>
        </w:rPr>
      </w:pPr>
      <w:r>
        <w:rPr>
          <w:b/>
          <w:color w:val="00188F"/>
        </w:rPr>
        <w:t>Microsoft Azure Cosmos DB for NoSQL, Microsoft Azure Cosmos DB for MongoDB</w:t>
      </w:r>
      <w:r w:rsidR="005E5097">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F01ED6">
      <w:pPr>
        <w:pStyle w:val="ProductList-Body"/>
        <w:rPr>
          <w:b/>
          <w:color w:val="00188F"/>
        </w:rPr>
      </w:pPr>
      <w:r>
        <w:rPr>
          <w:b/>
          <w:color w:val="00188F"/>
        </w:rPr>
        <w:t>Definições Adicionais</w:t>
      </w:r>
      <w:r w:rsidRPr="00473DD3">
        <w:rPr>
          <w:b/>
          <w:color w:val="00188F"/>
        </w:rPr>
        <w:t>:</w:t>
      </w:r>
    </w:p>
    <w:p w14:paraId="361D61EC" w14:textId="1DC7A551" w:rsidR="004005AF" w:rsidRPr="00EF7CF9" w:rsidRDefault="00380305" w:rsidP="00F01ED6">
      <w:pPr>
        <w:pStyle w:val="ProductList-Body"/>
      </w:pPr>
      <w:r>
        <w:t>“</w:t>
      </w:r>
      <w:r w:rsidR="004005AF">
        <w:rPr>
          <w:b/>
          <w:color w:val="00188F"/>
        </w:rPr>
        <w:t>Contentor</w:t>
      </w:r>
      <w:r>
        <w:t>”</w:t>
      </w:r>
      <w:r w:rsidR="004005AF">
        <w:t xml:space="preserve"> é um contentor de itens de dados e uma unidade de escala para transações e consultas.</w:t>
      </w:r>
    </w:p>
    <w:p w14:paraId="2042777F" w14:textId="4ED0C6F2" w:rsidR="004005AF" w:rsidRPr="00EF7CF9" w:rsidRDefault="00380305" w:rsidP="00F01ED6">
      <w:pPr>
        <w:pStyle w:val="ProductList-Body"/>
      </w:pPr>
      <w:r>
        <w:t>“</w:t>
      </w:r>
      <w:r w:rsidR="004005AF">
        <w:rPr>
          <w:b/>
          <w:color w:val="00188F"/>
        </w:rPr>
        <w:t>RUs Consumidas</w:t>
      </w:r>
      <w:r>
        <w:t>”</w:t>
      </w:r>
      <w:r w:rsidR="004005AF">
        <w:t xml:space="preserve"> é a soma das Unidades de Pedido consumidas por todos os pedidos processados pelo Contentor do Azure Cosmos DB num determinado segundo.</w:t>
      </w:r>
    </w:p>
    <w:p w14:paraId="30EF1808" w14:textId="6A111E00" w:rsidR="004005AF" w:rsidRPr="00EF7CF9" w:rsidRDefault="00380305" w:rsidP="00F01ED6">
      <w:pPr>
        <w:pStyle w:val="ProductList-Body"/>
        <w:spacing w:after="40"/>
      </w:pPr>
      <w:r>
        <w:t>“</w:t>
      </w:r>
      <w:r w:rsidR="004005AF">
        <w:rPr>
          <w:b/>
          <w:color w:val="00188F"/>
        </w:rPr>
        <w:t>Conta de Base de Dados</w:t>
      </w:r>
      <w:r>
        <w:t>”</w:t>
      </w:r>
      <w:r w:rsidR="004005AF">
        <w:t xml:space="preserve"> é o recurso de nível superior do modelo de recurso Azure Cosmos DB. Uma Conta de Base de Dados Azure Cosmos DB contém uma ou mais bases de dados.</w:t>
      </w:r>
    </w:p>
    <w:p w14:paraId="5F79BD07" w14:textId="5290133E" w:rsidR="004005AF" w:rsidRPr="00EF7CF9" w:rsidRDefault="00380305" w:rsidP="00F01ED6">
      <w:pPr>
        <w:pStyle w:val="ProductList-Body"/>
        <w:spacing w:after="40"/>
      </w:pPr>
      <w:r>
        <w:t>“</w:t>
      </w:r>
      <w:r w:rsidR="004005AF">
        <w:rPr>
          <w:b/>
          <w:color w:val="00188F"/>
        </w:rPr>
        <w:t>Pedidos com Falha</w:t>
      </w:r>
      <w:r>
        <w:t>”</w:t>
      </w:r>
      <w:r w:rsidR="004005AF">
        <w:t xml:space="preserve"> são os pedidos no Total de Pedidos que devolvem um Código de Erro ou que não conseguem devolver um Código de Êxito dentro dos limites superiores máximos documentados na tabela abaixo.</w:t>
      </w:r>
    </w:p>
    <w:p w14:paraId="5C559261" w14:textId="29CCF5CB" w:rsidR="004005AF" w:rsidRPr="00EF7CF9" w:rsidRDefault="00380305" w:rsidP="00F01ED6">
      <w:pPr>
        <w:pStyle w:val="ProductList-Body"/>
      </w:pPr>
      <w:r>
        <w:t>“</w:t>
      </w:r>
      <w:r w:rsidR="004005AF">
        <w:rPr>
          <w:b/>
          <w:color w:val="00188F"/>
        </w:rPr>
        <w:t>Pedidos de Leitura com Falha</w:t>
      </w:r>
      <w:r>
        <w:t>”</w:t>
      </w:r>
      <w:r w:rsidR="004005AF">
        <w:t xml:space="preserve"> são pedidos no Total de Pedidos de Leitura que devolvem um Código de Erro ou que não devolvem um Código de</w:t>
      </w:r>
      <w:r w:rsidR="00394338">
        <w:t> </w:t>
      </w:r>
      <w:r w:rsidR="004005AF">
        <w:t>Êxito nos limites superiores máximos documentados na tabela abaixo.</w:t>
      </w:r>
    </w:p>
    <w:p w14:paraId="59DD6F19" w14:textId="77777777" w:rsidR="004005AF" w:rsidRPr="00EF7CF9" w:rsidRDefault="004005AF" w:rsidP="00F01ED6">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F01ED6">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F01ED6">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F01ED6">
            <w:pPr>
              <w:pStyle w:val="ProductList-OfferingBody"/>
            </w:pPr>
            <w:r>
              <w:t>Operações de Recursos</w:t>
            </w:r>
          </w:p>
        </w:tc>
        <w:tc>
          <w:tcPr>
            <w:tcW w:w="5400" w:type="dxa"/>
          </w:tcPr>
          <w:p w14:paraId="05D5AEFF"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F01ED6">
            <w:pPr>
              <w:pStyle w:val="ProductList-OfferingBody"/>
            </w:pPr>
            <w:r>
              <w:t>Operações de Multimédia</w:t>
            </w:r>
          </w:p>
        </w:tc>
        <w:tc>
          <w:tcPr>
            <w:tcW w:w="5400" w:type="dxa"/>
          </w:tcPr>
          <w:p w14:paraId="30157A9F" w14:textId="77777777" w:rsidR="004005AF" w:rsidRPr="00EF7CF9" w:rsidRDefault="004005AF" w:rsidP="00F01ED6">
            <w:pPr>
              <w:pStyle w:val="ProductList-OfferingBody"/>
            </w:pPr>
            <w:r>
              <w:t>60 Segundos</w:t>
            </w:r>
          </w:p>
        </w:tc>
      </w:tr>
    </w:tbl>
    <w:p w14:paraId="078FD11A" w14:textId="77777777" w:rsidR="004005AF" w:rsidRPr="00B06E74" w:rsidRDefault="004005AF" w:rsidP="00F01ED6">
      <w:pPr>
        <w:spacing w:after="0" w:line="240" w:lineRule="auto"/>
        <w:rPr>
          <w:sz w:val="12"/>
          <w:szCs w:val="12"/>
        </w:rPr>
      </w:pPr>
    </w:p>
    <w:p w14:paraId="33557703" w14:textId="6E336B00" w:rsidR="004005AF" w:rsidRPr="008E7C1C" w:rsidRDefault="00380305" w:rsidP="00F01ED6">
      <w:pPr>
        <w:spacing w:after="0" w:line="240" w:lineRule="auto"/>
        <w:jc w:val="both"/>
        <w:rPr>
          <w:spacing w:val="-3"/>
          <w:sz w:val="18"/>
        </w:rPr>
      </w:pPr>
      <w:r>
        <w:rPr>
          <w:spacing w:val="-3"/>
          <w:sz w:val="18"/>
        </w:rPr>
        <w:t>“</w:t>
      </w:r>
      <w:r w:rsidR="004005AF" w:rsidRPr="008E7C1C">
        <w:rPr>
          <w:b/>
          <w:color w:val="00188F"/>
          <w:spacing w:val="-3"/>
          <w:sz w:val="18"/>
        </w:rPr>
        <w:t>RUs Aprovisionados</w:t>
      </w:r>
      <w:r>
        <w:rPr>
          <w:spacing w:val="-3"/>
          <w:sz w:val="18"/>
        </w:rPr>
        <w:t>”</w:t>
      </w:r>
      <w:r w:rsidR="004005AF" w:rsidRPr="008E7C1C">
        <w:rPr>
          <w:spacing w:val="-3"/>
          <w:sz w:val="18"/>
        </w:rPr>
        <w:t xml:space="preserve"> é o total de Unidades de Pedido Aprovisionadas para um determinado Contentor do Azure </w:t>
      </w:r>
      <w:r w:rsidR="004005AF" w:rsidRPr="008E7C1C">
        <w:rPr>
          <w:rStyle w:val="ProductList-BodyChar"/>
          <w:spacing w:val="-3"/>
        </w:rPr>
        <w:t>Cosmos DB</w:t>
      </w:r>
      <w:r w:rsidR="004005AF" w:rsidRPr="008E7C1C">
        <w:rPr>
          <w:spacing w:val="-3"/>
          <w:sz w:val="18"/>
        </w:rPr>
        <w:t xml:space="preserve"> num determinado segundo.</w:t>
      </w:r>
    </w:p>
    <w:p w14:paraId="70C37A24" w14:textId="5FE2E6E4" w:rsidR="004005AF" w:rsidRPr="00ED4527" w:rsidRDefault="00380305" w:rsidP="00F01ED6">
      <w:pPr>
        <w:spacing w:after="0" w:line="240" w:lineRule="auto"/>
        <w:rPr>
          <w:color w:val="000000" w:themeColor="text1"/>
          <w:sz w:val="18"/>
        </w:rPr>
      </w:pPr>
      <w:r w:rsidRPr="00380305">
        <w:rPr>
          <w:sz w:val="18"/>
        </w:rPr>
        <w:t>“</w:t>
      </w:r>
      <w:r w:rsidR="004005AF">
        <w:rPr>
          <w:b/>
          <w:bCs/>
          <w:color w:val="00188F"/>
          <w:sz w:val="18"/>
        </w:rPr>
        <w:t>Recursos de Débito Aprovisionado</w:t>
      </w:r>
      <w:r w:rsidRPr="00380305">
        <w:rPr>
          <w:sz w:val="18"/>
        </w:rPr>
        <w:t>”</w:t>
      </w:r>
      <w:r w:rsidR="004005AF">
        <w:rPr>
          <w:color w:val="000000" w:themeColor="text1"/>
          <w:sz w:val="18"/>
        </w:rPr>
        <w:t xml:space="preserve"> são Contentores do Azure Cosmos DB configurados em modo de débito aprovisionado, em que é faturado o</w:t>
      </w:r>
      <w:r w:rsidR="007C0172">
        <w:rPr>
          <w:color w:val="000000" w:themeColor="text1"/>
          <w:sz w:val="18"/>
        </w:rPr>
        <w:t> </w:t>
      </w:r>
      <w:r w:rsidR="004005AF">
        <w:rPr>
          <w:color w:val="000000" w:themeColor="text1"/>
          <w:sz w:val="18"/>
        </w:rPr>
        <w:t>número de RU Aprovisionadas.</w:t>
      </w:r>
    </w:p>
    <w:p w14:paraId="16319EEE" w14:textId="37825219" w:rsidR="004005AF" w:rsidRPr="00EF7CF9" w:rsidRDefault="00380305" w:rsidP="00F01ED6">
      <w:pPr>
        <w:spacing w:after="0" w:line="240" w:lineRule="auto"/>
        <w:rPr>
          <w:sz w:val="18"/>
        </w:rPr>
      </w:pPr>
      <w:r>
        <w:rPr>
          <w:sz w:val="18"/>
        </w:rPr>
        <w:t>“</w:t>
      </w:r>
      <w:r w:rsidR="004005AF">
        <w:rPr>
          <w:b/>
          <w:color w:val="00188F"/>
          <w:sz w:val="18"/>
        </w:rPr>
        <w:t>Pedidos Limitados por Taxa</w:t>
      </w:r>
      <w:r>
        <w:rPr>
          <w:sz w:val="18"/>
        </w:rPr>
        <w:t>”</w:t>
      </w:r>
      <w:r w:rsidR="004005AF">
        <w:rPr>
          <w:sz w:val="18"/>
        </w:rPr>
        <w:t xml:space="preserve"> são pedidos que devolvem um código de estado 429 a partir do Contentor do Azure Cosmos DB, o que indica que as</w:t>
      </w:r>
      <w:r w:rsidR="00F54ACA">
        <w:rPr>
          <w:sz w:val="18"/>
        </w:rPr>
        <w:t> </w:t>
      </w:r>
      <w:r w:rsidR="004005AF">
        <w:rPr>
          <w:sz w:val="18"/>
        </w:rPr>
        <w:t>RUs Consumidas excederem as RUs Aprovisionadas para uma partição no Contentor num determinado segundo.</w:t>
      </w:r>
    </w:p>
    <w:p w14:paraId="08AAE103" w14:textId="555BA433" w:rsidR="004005AF" w:rsidRPr="00EF7CF9" w:rsidRDefault="00380305" w:rsidP="00F01ED6">
      <w:pPr>
        <w:pStyle w:val="ProductList-Body"/>
      </w:pPr>
      <w:r>
        <w:t>“</w:t>
      </w:r>
      <w:r w:rsidR="004005AF">
        <w:rPr>
          <w:b/>
          <w:color w:val="00188F"/>
        </w:rPr>
        <w:t>Unidade de Pedido (RU)</w:t>
      </w:r>
      <w:r>
        <w:t>”</w:t>
      </w:r>
      <w:r w:rsidR="004005AF">
        <w:t xml:space="preserve"> é uma medida de débito no Azure Cosmos</w:t>
      </w:r>
      <w:r w:rsidR="004005AF">
        <w:rPr>
          <w:rStyle w:val="ProductList-BodyChar"/>
        </w:rPr>
        <w:t xml:space="preserve"> DB</w:t>
      </w:r>
      <w:r w:rsidR="004005AF">
        <w:t>.</w:t>
      </w:r>
    </w:p>
    <w:p w14:paraId="1E86EDAF" w14:textId="16EAA8AD" w:rsidR="004005AF" w:rsidRPr="00EF7CF9" w:rsidRDefault="00380305" w:rsidP="00F01ED6">
      <w:pPr>
        <w:pStyle w:val="ProductList-Body"/>
        <w:spacing w:after="40"/>
      </w:pPr>
      <w:r>
        <w:t>“</w:t>
      </w:r>
      <w:r w:rsidR="004005AF">
        <w:rPr>
          <w:b/>
          <w:color w:val="00188F"/>
        </w:rPr>
        <w:t>Recurso</w:t>
      </w:r>
      <w:r>
        <w:t>”</w:t>
      </w:r>
      <w:r w:rsidR="004005AF">
        <w:t xml:space="preserve"> é um conjunto de entidades endereçáveis de URI associadas a uma Conta de Base de Dados.</w:t>
      </w:r>
    </w:p>
    <w:p w14:paraId="395911E4" w14:textId="13D41B95" w:rsidR="004005AF" w:rsidRPr="008E7C1C" w:rsidRDefault="00380305" w:rsidP="00F01ED6">
      <w:pPr>
        <w:pStyle w:val="ProductList-Body"/>
        <w:spacing w:after="40"/>
        <w:rPr>
          <w:color w:val="000000" w:themeColor="text1"/>
          <w:spacing w:val="-3"/>
        </w:rPr>
      </w:pPr>
      <w:r w:rsidRPr="009D6328">
        <w:t>“</w:t>
      </w:r>
      <w:r w:rsidR="004005AF" w:rsidRPr="008E7C1C">
        <w:rPr>
          <w:b/>
          <w:bCs/>
          <w:color w:val="00188F"/>
          <w:spacing w:val="-3"/>
        </w:rPr>
        <w:t>Recursos Sem Servidor</w:t>
      </w:r>
      <w:r w:rsidRPr="009D6328">
        <w:t>”</w:t>
      </w:r>
      <w:r w:rsidR="004005AF" w:rsidRPr="008E7C1C">
        <w:rPr>
          <w:color w:val="000000" w:themeColor="text1"/>
          <w:spacing w:val="-3"/>
        </w:rPr>
        <w:t xml:space="preserve"> são Contentores do Azure Cosmos DB configurados em modo sem servidor, em que é faturado o número de RU Consumidas.</w:t>
      </w:r>
    </w:p>
    <w:p w14:paraId="29101DF6" w14:textId="4114D50E" w:rsidR="004005AF" w:rsidRPr="00EF7CF9" w:rsidRDefault="00380305" w:rsidP="00F01ED6">
      <w:pPr>
        <w:pStyle w:val="ProductList-Body"/>
        <w:spacing w:after="40"/>
      </w:pPr>
      <w:r>
        <w:t>“</w:t>
      </w:r>
      <w:r w:rsidR="004005AF">
        <w:rPr>
          <w:b/>
          <w:color w:val="00188F"/>
        </w:rPr>
        <w:t>Pedidos Com Êxito</w:t>
      </w:r>
      <w:r>
        <w:t>”</w:t>
      </w:r>
      <w:r w:rsidR="004005AF">
        <w:t xml:space="preserve"> designa o Total de Pedidos menos os Pedidos com Falha.</w:t>
      </w:r>
    </w:p>
    <w:p w14:paraId="6A5A40CE" w14:textId="55806C7B" w:rsidR="004005AF" w:rsidRPr="00EF7CF9" w:rsidRDefault="00380305" w:rsidP="00F01ED6">
      <w:pPr>
        <w:pStyle w:val="ProductList-Body"/>
        <w:ind w:right="126"/>
      </w:pPr>
      <w:r>
        <w:t>“</w:t>
      </w:r>
      <w:r w:rsidR="004005AF">
        <w:rPr>
          <w:b/>
          <w:color w:val="00188F"/>
        </w:rPr>
        <w:t>Total de Pedidos de Leitura</w:t>
      </w:r>
      <w:r>
        <w:t>”</w:t>
      </w:r>
      <w:r w:rsidR="004005AF">
        <w:t xml:space="preserve"> designa o conjunto de todos os pedidos de leitura, incluindo Pedidos Limitados por Taxa e todos os Pedidos de Leitura com Falha, emitidos relativamente a Recursos num intervalo de uma hora, no âmbito de uma determinada subscrição do Azure durante um Período Aplicável.</w:t>
      </w:r>
    </w:p>
    <w:p w14:paraId="237501E5" w14:textId="1F3465ED" w:rsidR="004005AF" w:rsidRPr="00EF7CF9" w:rsidRDefault="00380305" w:rsidP="00F01ED6">
      <w:pPr>
        <w:pStyle w:val="ProductList-Body"/>
      </w:pPr>
      <w:r>
        <w:t>“</w:t>
      </w:r>
      <w:r w:rsidR="004005AF">
        <w:rPr>
          <w:b/>
          <w:color w:val="00188F"/>
        </w:rPr>
        <w:t>Total de Pedidos</w:t>
      </w:r>
      <w:r>
        <w:t>”</w:t>
      </w:r>
      <w:r w:rsidR="004005AF">
        <w:t xml:space="preserve"> designa o conjunto de todos os pedidos, incluindo os Pedidos Limitados pela Taxa e todos os Pedidos com Falha, emitidos relativamente a Recursos num intervalo de uma hora, no âmbito de uma determinada subscrição do Azure durante um Período Aplicável.</w:t>
      </w:r>
    </w:p>
    <w:p w14:paraId="5AD6669C" w14:textId="77777777" w:rsidR="004005AF" w:rsidRPr="00B06E74" w:rsidRDefault="004005AF" w:rsidP="00F01ED6">
      <w:pPr>
        <w:pStyle w:val="ProductList-Body"/>
        <w:rPr>
          <w:b/>
          <w:color w:val="00188F"/>
          <w:sz w:val="12"/>
          <w:szCs w:val="12"/>
        </w:rPr>
      </w:pPr>
    </w:p>
    <w:p w14:paraId="6E2B6641" w14:textId="77777777" w:rsidR="004005AF" w:rsidRPr="00EF7CF9" w:rsidRDefault="004005AF" w:rsidP="00F01ED6">
      <w:pPr>
        <w:pStyle w:val="ProductList-Body"/>
        <w:rPr>
          <w:b/>
          <w:color w:val="00188F"/>
        </w:rPr>
      </w:pPr>
      <w:r>
        <w:rPr>
          <w:b/>
          <w:color w:val="00188F"/>
        </w:rPr>
        <w:t>SLA de disponibilidade</w:t>
      </w:r>
    </w:p>
    <w:p w14:paraId="11FEC7EC" w14:textId="6563A5CA" w:rsidR="004005AF" w:rsidRPr="00EF7CF9" w:rsidRDefault="00380305" w:rsidP="00F01ED6">
      <w:pPr>
        <w:pStyle w:val="ProductList-Body"/>
        <w:ind w:left="360"/>
      </w:pPr>
      <w:r>
        <w:t>“</w:t>
      </w:r>
      <w:r w:rsidR="004005AF">
        <w:rPr>
          <w:b/>
          <w:color w:val="0072C6"/>
        </w:rPr>
        <w:t>Taxa de Erros de Leitura</w:t>
      </w:r>
      <w:r>
        <w:t>”</w:t>
      </w:r>
      <w:r w:rsidR="004005AF">
        <w:t xml:space="preserve"> designa o número total de Pedidos de Leitura com Falha a dividir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6486965" w14:textId="780D9CD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53003E87" w14:textId="7D3887E5"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 </w:t>
      </w:r>
    </w:p>
    <w:p w14:paraId="4B6B9E2E" w14:textId="10D22B4F" w:rsidR="004005AF" w:rsidRPr="00ED4527" w:rsidRDefault="00380305" w:rsidP="00F01ED6">
      <w:pPr>
        <w:pStyle w:val="ProductList-Body"/>
        <w:ind w:left="360"/>
        <w:rPr>
          <w:rFonts w:cstheme="minorHAnsi"/>
          <w:color w:val="000000" w:themeColor="text1"/>
        </w:rPr>
      </w:pPr>
      <w:r>
        <w:t>“</w:t>
      </w:r>
      <w:r w:rsidR="004005AF">
        <w:rPr>
          <w:b/>
          <w:color w:val="0072C6"/>
        </w:rPr>
        <w:t>Taxa Média de Erros de Leitura</w:t>
      </w:r>
      <w:r>
        <w:t>”</w:t>
      </w:r>
      <w:r w:rsidR="004005AF">
        <w:t xml:space="preserve"> para um Período Aplicável designa a soma das Taxas de Erros para cada hora no Período Aplicável a dividir pelo número total de horas no Período Aplicável.</w:t>
      </w:r>
    </w:p>
    <w:p w14:paraId="7AA01C14" w14:textId="4B7551B6" w:rsidR="004005AF" w:rsidRDefault="004005AF" w:rsidP="00F01ED6">
      <w:pPr>
        <w:pStyle w:val="ProductList-Body"/>
        <w:ind w:left="360"/>
      </w:pPr>
      <w:r>
        <w:t xml:space="preserve">A </w:t>
      </w:r>
      <w:r w:rsidR="00380305" w:rsidRPr="00380305">
        <w:t>“</w:t>
      </w:r>
      <w:r>
        <w:rPr>
          <w:b/>
          <w:color w:val="0072C6"/>
        </w:rPr>
        <w:t>Percentagem de Disponibilidade, região única</w:t>
      </w:r>
      <w:r w:rsidR="00380305" w:rsidRPr="00380305">
        <w:t>”</w:t>
      </w:r>
      <w:r>
        <w:t xml:space="preserve"> para o Serviço Azure Cosmos DB implementado através das Contas da Base de Dados, destinadas a uma única região do Azure configuradas com qualquer um dos cinco Níveis de Consistência, é calculada ao subtrair de 100% a</w:t>
      </w:r>
      <w:r w:rsidR="00656EFA">
        <w:t> </w:t>
      </w:r>
      <w:r>
        <w:t>Taxa Média de Erros para uma determinada subscrição do Microsoft Azure num Período Aplicável.</w:t>
      </w:r>
    </w:p>
    <w:p w14:paraId="6B623582" w14:textId="49CC4D1B" w:rsidR="004005AF" w:rsidRPr="00EF7CF9" w:rsidRDefault="004005AF" w:rsidP="00F01ED6">
      <w:pPr>
        <w:pStyle w:val="ProductList-Body"/>
        <w:ind w:left="360"/>
      </w:pPr>
      <w:r>
        <w:t>A Percentagem de Disponibilidade é representada pela seguinte fórmula:</w:t>
      </w:r>
    </w:p>
    <w:p w14:paraId="31AB9B03" w14:textId="77777777" w:rsidR="004005AF" w:rsidRPr="00AE404D" w:rsidRDefault="004005AF" w:rsidP="00F01ED6">
      <w:pPr>
        <w:pStyle w:val="ProductList-Body"/>
        <w:rPr>
          <w:sz w:val="12"/>
          <w:szCs w:val="12"/>
        </w:rPr>
      </w:pPr>
    </w:p>
    <w:p w14:paraId="1F669364" w14:textId="5C2C8156"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D3119E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F01ED6">
            <w:pPr>
              <w:pStyle w:val="ProductList-OfferingBody"/>
              <w:jc w:val="center"/>
              <w:rPr>
                <w:color w:val="FFFFFF" w:themeColor="background1"/>
              </w:rPr>
            </w:pPr>
            <w:r>
              <w:rPr>
                <w:color w:val="FFFFFF" w:themeColor="background1"/>
              </w:rPr>
              <w:t>Percentagem de Disponibilidade</w:t>
            </w:r>
          </w:p>
        </w:tc>
        <w:tc>
          <w:tcPr>
            <w:tcW w:w="5220" w:type="dxa"/>
            <w:shd w:val="clear" w:color="auto" w:fill="0072C6"/>
          </w:tcPr>
          <w:p w14:paraId="522E8022"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F01ED6">
            <w:pPr>
              <w:pStyle w:val="ProductList-OfferingBody"/>
              <w:jc w:val="center"/>
            </w:pPr>
            <w:r>
              <w:t>&lt; 99,99%</w:t>
            </w:r>
          </w:p>
        </w:tc>
        <w:tc>
          <w:tcPr>
            <w:tcW w:w="5220" w:type="dxa"/>
          </w:tcPr>
          <w:p w14:paraId="76F210E0" w14:textId="77777777" w:rsidR="004005AF" w:rsidRPr="00EF7CF9" w:rsidRDefault="004005AF" w:rsidP="00F01ED6">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F01ED6">
            <w:pPr>
              <w:pStyle w:val="ProductList-OfferingBody"/>
              <w:jc w:val="center"/>
            </w:pPr>
            <w:r>
              <w:t>&lt; 99%</w:t>
            </w:r>
          </w:p>
        </w:tc>
        <w:tc>
          <w:tcPr>
            <w:tcW w:w="5220" w:type="dxa"/>
          </w:tcPr>
          <w:p w14:paraId="09F00374" w14:textId="77777777" w:rsidR="004005AF" w:rsidRPr="00EF7CF9" w:rsidRDefault="004005AF" w:rsidP="00F01ED6">
            <w:pPr>
              <w:pStyle w:val="ProductList-OfferingBody"/>
              <w:jc w:val="center"/>
            </w:pPr>
            <w:r>
              <w:t>25%</w:t>
            </w:r>
          </w:p>
        </w:tc>
      </w:tr>
    </w:tbl>
    <w:p w14:paraId="1C678F12" w14:textId="01ED039C" w:rsidR="004005AF" w:rsidRDefault="004005AF" w:rsidP="00F01ED6">
      <w:pPr>
        <w:pStyle w:val="ProductList-Body"/>
        <w:ind w:left="360"/>
        <w:rPr>
          <w:color w:val="000000" w:themeColor="text1"/>
        </w:rPr>
      </w:pPr>
      <w:r>
        <w:t xml:space="preserve">A </w:t>
      </w:r>
      <w:r w:rsidR="00380305" w:rsidRPr="00380305">
        <w:t>“</w:t>
      </w:r>
      <w:r>
        <w:rPr>
          <w:b/>
          <w:bCs/>
          <w:color w:val="00188F"/>
        </w:rPr>
        <w:t>Percentagem de Disponibilidade, região única com zonas de disponibilidade (SR-AZ)</w:t>
      </w:r>
      <w:r w:rsidR="00380305" w:rsidRPr="00380305">
        <w:t>”</w:t>
      </w:r>
      <w:r>
        <w:t xml:space="preserve"> </w:t>
      </w:r>
      <w:r>
        <w:rPr>
          <w:color w:val="000000" w:themeColor="text1"/>
        </w:rPr>
        <w:t xml:space="preserve">para o Serviço Azure Cosmos DB implementado através das Contas da Base de Dados, destinadas a uma única região do Azure configuradas com zonas de disponibilidade e qualquer um dos cinco Níveis de Consistência, é calculada ao subtrair de 100% a Taxa Média de Erros para uma determinada subscrição do Microsoft Azure num Período Aplicável. </w:t>
      </w:r>
    </w:p>
    <w:p w14:paraId="4BE8750A" w14:textId="118E4410" w:rsidR="004005AF" w:rsidRPr="00ED4527" w:rsidRDefault="004005AF" w:rsidP="00F01ED6">
      <w:pPr>
        <w:pStyle w:val="ProductList-Body"/>
        <w:ind w:left="360"/>
        <w:rPr>
          <w:color w:val="000000" w:themeColor="text1"/>
        </w:rPr>
      </w:pPr>
      <w:r>
        <w:rPr>
          <w:color w:val="000000" w:themeColor="text1"/>
        </w:rPr>
        <w:t>A Percentagem de Disponibilidade é representada pela seguinte fórmula:</w:t>
      </w:r>
    </w:p>
    <w:p w14:paraId="2FDECFC2" w14:textId="77777777" w:rsidR="004005AF" w:rsidRPr="00AE404D" w:rsidRDefault="004005AF" w:rsidP="00F01ED6">
      <w:pPr>
        <w:pStyle w:val="ProductList-Body"/>
        <w:rPr>
          <w:sz w:val="12"/>
          <w:szCs w:val="12"/>
        </w:rPr>
      </w:pPr>
    </w:p>
    <w:p w14:paraId="11D51820" w14:textId="7D5876D3"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70B4484"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F01ED6">
            <w:pPr>
              <w:pStyle w:val="ProductList-OfferingBody"/>
              <w:jc w:val="center"/>
              <w:rPr>
                <w:color w:val="FFFFFF" w:themeColor="background1"/>
              </w:rPr>
            </w:pPr>
            <w:r>
              <w:rPr>
                <w:color w:val="FFFFFF" w:themeColor="background1"/>
              </w:rPr>
              <w:t>Percentagem de Disponibilidade (SR-AZ)</w:t>
            </w:r>
          </w:p>
        </w:tc>
        <w:tc>
          <w:tcPr>
            <w:tcW w:w="5220" w:type="dxa"/>
            <w:shd w:val="clear" w:color="auto" w:fill="0072C6"/>
          </w:tcPr>
          <w:p w14:paraId="0EF30CB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F01ED6">
            <w:pPr>
              <w:pStyle w:val="ProductList-OfferingBody"/>
              <w:jc w:val="center"/>
            </w:pPr>
            <w:r>
              <w:t>&lt; 99,995%</w:t>
            </w:r>
          </w:p>
        </w:tc>
        <w:tc>
          <w:tcPr>
            <w:tcW w:w="5220" w:type="dxa"/>
          </w:tcPr>
          <w:p w14:paraId="3C61D854" w14:textId="77777777" w:rsidR="004005AF" w:rsidRPr="00EF7CF9" w:rsidRDefault="004005AF" w:rsidP="00F01ED6">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F01ED6">
            <w:pPr>
              <w:pStyle w:val="ProductList-OfferingBody"/>
              <w:jc w:val="center"/>
            </w:pPr>
            <w:r>
              <w:t>&lt; 99%</w:t>
            </w:r>
          </w:p>
        </w:tc>
        <w:tc>
          <w:tcPr>
            <w:tcW w:w="5220" w:type="dxa"/>
          </w:tcPr>
          <w:p w14:paraId="59950996" w14:textId="77777777" w:rsidR="004005AF" w:rsidRPr="00EF7CF9" w:rsidRDefault="004005AF" w:rsidP="00F01ED6">
            <w:pPr>
              <w:pStyle w:val="ProductList-OfferingBody"/>
              <w:jc w:val="center"/>
            </w:pPr>
            <w:r>
              <w:t>25%</w:t>
            </w:r>
          </w:p>
        </w:tc>
      </w:tr>
    </w:tbl>
    <w:p w14:paraId="2163FA83" w14:textId="6EEF8E05" w:rsidR="004005AF" w:rsidRDefault="004005AF" w:rsidP="00F01ED6">
      <w:pPr>
        <w:pStyle w:val="ProductList-Body"/>
        <w:ind w:left="360"/>
      </w:pPr>
      <w:r>
        <w:t xml:space="preserve">A </w:t>
      </w:r>
      <w:r w:rsidR="00380305" w:rsidRPr="00380305">
        <w:t>“</w:t>
      </w:r>
      <w:r>
        <w:rPr>
          <w:b/>
          <w:color w:val="0072C6"/>
        </w:rPr>
        <w:t>Percentagem da Disponibilidade de Leitura, múltiplas regiões</w:t>
      </w:r>
      <w:r w:rsidR="00380305">
        <w:t>”</w:t>
      </w:r>
      <w:r>
        <w:t xml:space="preserve"> para o Serviço Azure Cosmos DB implementado através da Conta da</w:t>
      </w:r>
      <w:r w:rsidR="00516AB4">
        <w:t> </w:t>
      </w:r>
      <w:r>
        <w:t>Base</w:t>
      </w:r>
      <w:r w:rsidR="00516AB4">
        <w:t> </w:t>
      </w:r>
      <w:r>
        <w:t>de Dados configurada para abranger duas ou mais</w:t>
      </w:r>
      <w:r>
        <w:rPr>
          <w:rFonts w:ascii="Segoe UI" w:hAnsi="Segoe UI"/>
          <w:color w:val="505050"/>
          <w:szCs w:val="18"/>
        </w:rPr>
        <w:t xml:space="preserve"> </w:t>
      </w:r>
      <w:r>
        <w:t>regiões é calculada ao subtrair de 100% a Taxa Média de Erros de Leitura para</w:t>
      </w:r>
      <w:r w:rsidR="00516AB4">
        <w:t> </w:t>
      </w:r>
      <w:r>
        <w:t>uma</w:t>
      </w:r>
      <w:r w:rsidR="00516AB4">
        <w:t> </w:t>
      </w:r>
      <w:r>
        <w:t>determinada subscrição do Microsoft Azure num Período Aplicável.</w:t>
      </w:r>
    </w:p>
    <w:p w14:paraId="138E383A" w14:textId="2F61485F" w:rsidR="004005AF" w:rsidRPr="00EF7CF9" w:rsidRDefault="004005AF" w:rsidP="00F01ED6">
      <w:pPr>
        <w:pStyle w:val="ProductList-Body"/>
        <w:ind w:left="360"/>
      </w:pPr>
      <w:r>
        <w:t>A Percentagem de Disponibilidade de Leitura é representada pela seguinte fórmula:</w:t>
      </w:r>
    </w:p>
    <w:p w14:paraId="520FCB3B" w14:textId="77777777" w:rsidR="004005AF" w:rsidRPr="000974C9" w:rsidRDefault="004005AF" w:rsidP="00F01ED6">
      <w:pPr>
        <w:pStyle w:val="ProductList-Body"/>
        <w:ind w:left="360"/>
        <w:rPr>
          <w:sz w:val="12"/>
          <w:szCs w:val="12"/>
        </w:rPr>
      </w:pPr>
    </w:p>
    <w:p w14:paraId="42F47F2F" w14:textId="7AE3AE21" w:rsidR="004005AF" w:rsidRPr="00B44CF9" w:rsidRDefault="004005AF" w:rsidP="00F01ED6">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100% </w:t>
      </w:r>
      <w:r w:rsidR="00D2686E">
        <w:rPr>
          <w:rFonts w:ascii="Cambria Math" w:hAnsi="Cambria Math" w:cs="Tahoma"/>
          <w:i/>
          <w:sz w:val="18"/>
          <w:szCs w:val="18"/>
        </w:rPr>
        <w:t>–</w:t>
      </w:r>
      <w:r>
        <w:rPr>
          <w:rFonts w:ascii="Cambria Math" w:hAnsi="Cambria Math" w:cs="Tahoma"/>
          <w:i/>
          <w:sz w:val="18"/>
          <w:szCs w:val="18"/>
        </w:rPr>
        <w:t xml:space="preserve"> Taxa Média de Erros de Leitura</w:t>
      </w:r>
    </w:p>
    <w:p w14:paraId="38C0055E"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F01ED6">
            <w:pPr>
              <w:pStyle w:val="ProductList-OfferingBody"/>
              <w:jc w:val="center"/>
              <w:rPr>
                <w:color w:val="FFFFFF" w:themeColor="background1"/>
              </w:rPr>
            </w:pPr>
            <w:r>
              <w:rPr>
                <w:color w:val="FFFFFF" w:themeColor="background1"/>
              </w:rPr>
              <w:t>Percentagem de Disponibilidade de Leitura</w:t>
            </w:r>
          </w:p>
        </w:tc>
        <w:tc>
          <w:tcPr>
            <w:tcW w:w="5220" w:type="dxa"/>
            <w:shd w:val="clear" w:color="auto" w:fill="0072C6"/>
          </w:tcPr>
          <w:p w14:paraId="7EAE755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F01ED6">
            <w:pPr>
              <w:pStyle w:val="ProductList-OfferingBody"/>
              <w:jc w:val="center"/>
            </w:pPr>
            <w:r>
              <w:t>&lt; 99,999%</w:t>
            </w:r>
          </w:p>
        </w:tc>
        <w:tc>
          <w:tcPr>
            <w:tcW w:w="5220" w:type="dxa"/>
          </w:tcPr>
          <w:p w14:paraId="1A6FFD90" w14:textId="77777777" w:rsidR="004005AF" w:rsidRPr="00EF7CF9" w:rsidRDefault="004005AF" w:rsidP="00F01ED6">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F01ED6">
            <w:pPr>
              <w:pStyle w:val="ProductList-OfferingBody"/>
              <w:jc w:val="center"/>
            </w:pPr>
            <w:r>
              <w:t>&lt; 99%</w:t>
            </w:r>
          </w:p>
        </w:tc>
        <w:tc>
          <w:tcPr>
            <w:tcW w:w="5220" w:type="dxa"/>
          </w:tcPr>
          <w:p w14:paraId="0CC25834" w14:textId="77777777" w:rsidR="004005AF" w:rsidRPr="00EF7CF9" w:rsidRDefault="004005AF" w:rsidP="00F01ED6">
            <w:pPr>
              <w:pStyle w:val="ProductList-OfferingBody"/>
              <w:jc w:val="center"/>
            </w:pPr>
            <w:r>
              <w:t>25%</w:t>
            </w:r>
          </w:p>
        </w:tc>
      </w:tr>
    </w:tbl>
    <w:p w14:paraId="16EE59B5" w14:textId="748FB22D" w:rsidR="004005AF" w:rsidRDefault="004005AF" w:rsidP="00F01ED6">
      <w:pPr>
        <w:pStyle w:val="ProductList-Body"/>
        <w:ind w:left="360"/>
      </w:pPr>
      <w:r>
        <w:t xml:space="preserve">A </w:t>
      </w:r>
      <w:r w:rsidR="00380305" w:rsidRPr="00380305">
        <w:t>“</w:t>
      </w:r>
      <w:r>
        <w:rPr>
          <w:b/>
          <w:color w:val="0072C6"/>
        </w:rPr>
        <w:t>Percentagem de Disponibilidade de Múltiplas Localizações de Escrita</w:t>
      </w:r>
      <w:r w:rsidR="00380305">
        <w:t>”</w:t>
      </w:r>
      <w:r>
        <w:rPr>
          <w:b/>
          <w:color w:val="00188F"/>
        </w:rPr>
        <w:t xml:space="preserve"> </w:t>
      </w:r>
      <w:r>
        <w:t xml:space="preserve">para o Serviço Azure Cosmos DB implementado através de Contas da Base de Dados configuradas para abranger múltiplas regiões do Azure com múltiplas localizações graváveis é calculada ao subtrair de 100% a Taxa Média de Erros para uma determinada subscrição do Microsoft Azure num Período Aplicável. </w:t>
      </w:r>
    </w:p>
    <w:p w14:paraId="50F42BFA" w14:textId="3D482DA0" w:rsidR="004005AF" w:rsidRDefault="004005AF" w:rsidP="00F01ED6">
      <w:pPr>
        <w:pStyle w:val="ProductList-Body"/>
        <w:ind w:left="360"/>
        <w:rPr>
          <w:color w:val="00188F"/>
        </w:rPr>
      </w:pPr>
      <w:r>
        <w:t>A Percentagem de Disponibilidade é representada pela seguinte fórmula:</w:t>
      </w:r>
    </w:p>
    <w:p w14:paraId="4247EAA4" w14:textId="77777777" w:rsidR="004005AF" w:rsidRPr="000974C9" w:rsidRDefault="004005AF" w:rsidP="00F01ED6">
      <w:pPr>
        <w:pStyle w:val="ProductList-Body"/>
        <w:ind w:left="360"/>
        <w:rPr>
          <w:sz w:val="12"/>
          <w:szCs w:val="12"/>
        </w:rPr>
      </w:pPr>
    </w:p>
    <w:p w14:paraId="5C0160BB" w14:textId="0100CEA7" w:rsidR="004005AF" w:rsidRPr="00445EC8" w:rsidRDefault="004005AF" w:rsidP="00F01ED6">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 de Período de Disponibilidade = 100% </w:t>
      </w:r>
      <w:r w:rsidR="00D2686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F01ED6">
            <w:pPr>
              <w:pStyle w:val="ProductList-OfferingBody"/>
              <w:jc w:val="center"/>
              <w:rPr>
                <w:color w:val="FFFFFF" w:themeColor="background1"/>
              </w:rPr>
            </w:pPr>
            <w:r>
              <w:rPr>
                <w:color w:val="FFFFFF" w:themeColor="background1"/>
              </w:rPr>
              <w:t>Percentagem de Disponibilidade de Múltiplas Localizações de Escrita</w:t>
            </w:r>
          </w:p>
        </w:tc>
        <w:tc>
          <w:tcPr>
            <w:tcW w:w="5220" w:type="dxa"/>
            <w:shd w:val="clear" w:color="auto" w:fill="0072C6"/>
          </w:tcPr>
          <w:p w14:paraId="140398F3"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F01ED6">
            <w:pPr>
              <w:pStyle w:val="ProductList-OfferingBody"/>
              <w:jc w:val="center"/>
            </w:pPr>
            <w:r>
              <w:t>&lt; 99,999%</w:t>
            </w:r>
          </w:p>
        </w:tc>
        <w:tc>
          <w:tcPr>
            <w:tcW w:w="5220" w:type="dxa"/>
          </w:tcPr>
          <w:p w14:paraId="3D31BB6C" w14:textId="77777777" w:rsidR="004005AF" w:rsidRPr="00EF7CF9" w:rsidRDefault="004005AF" w:rsidP="00F01ED6">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F01ED6">
            <w:pPr>
              <w:pStyle w:val="ProductList-OfferingBody"/>
              <w:jc w:val="center"/>
            </w:pPr>
            <w:r>
              <w:t>&lt; 99%</w:t>
            </w:r>
          </w:p>
        </w:tc>
        <w:tc>
          <w:tcPr>
            <w:tcW w:w="5220" w:type="dxa"/>
          </w:tcPr>
          <w:p w14:paraId="2D89B6BE" w14:textId="77777777" w:rsidR="004005AF" w:rsidRPr="00EF7CF9" w:rsidRDefault="004005AF" w:rsidP="00F01ED6">
            <w:pPr>
              <w:pStyle w:val="ProductList-OfferingBody"/>
              <w:jc w:val="center"/>
            </w:pPr>
            <w:r>
              <w:t>25%</w:t>
            </w:r>
          </w:p>
        </w:tc>
      </w:tr>
    </w:tbl>
    <w:p w14:paraId="709245B5" w14:textId="77777777" w:rsidR="004005AF" w:rsidRPr="000974C9" w:rsidRDefault="004005AF" w:rsidP="00F01ED6">
      <w:pPr>
        <w:pStyle w:val="ProductList-Body"/>
        <w:rPr>
          <w:sz w:val="12"/>
          <w:szCs w:val="12"/>
        </w:rPr>
      </w:pPr>
    </w:p>
    <w:p w14:paraId="368915AF" w14:textId="77777777" w:rsidR="004005AF" w:rsidRPr="00EF7CF9" w:rsidRDefault="004005AF" w:rsidP="00F01ED6">
      <w:pPr>
        <w:pStyle w:val="ProductList-Body"/>
        <w:tabs>
          <w:tab w:val="clear" w:pos="360"/>
        </w:tabs>
        <w:rPr>
          <w:b/>
          <w:color w:val="00188F"/>
        </w:rPr>
      </w:pPr>
      <w:r>
        <w:rPr>
          <w:b/>
          <w:color w:val="00188F"/>
        </w:rPr>
        <w:t>SLA de produtividade</w:t>
      </w:r>
    </w:p>
    <w:p w14:paraId="4411A7D3" w14:textId="63AB9958" w:rsidR="004005AF" w:rsidRPr="00EF7CF9" w:rsidRDefault="00380305" w:rsidP="00F01ED6">
      <w:pPr>
        <w:pStyle w:val="ProductList-Body"/>
        <w:ind w:left="360"/>
      </w:pPr>
      <w:r>
        <w:t>“</w:t>
      </w:r>
      <w:r w:rsidR="004005AF">
        <w:rPr>
          <w:b/>
          <w:color w:val="0072C6"/>
        </w:rPr>
        <w:t>Pedidos com Falha de Débito</w:t>
      </w:r>
      <w:r>
        <w:t>”</w:t>
      </w:r>
      <w:r w:rsidR="004005AF">
        <w:t xml:space="preserve"> são Pedidos com Taxa Limitada que resultam num Código de Erro, antes das RUs Consumidas excederem as</w:t>
      </w:r>
      <w:r w:rsidR="00D53B5F">
        <w:t> </w:t>
      </w:r>
      <w:r w:rsidR="004005AF">
        <w:t>RUs Aprovisionadas para uma partição no Contentor num determinado segundo.</w:t>
      </w:r>
    </w:p>
    <w:p w14:paraId="74602DE7" w14:textId="39F23F3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28CDF879" w14:textId="4D38200F"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w:t>
      </w:r>
    </w:p>
    <w:p w14:paraId="00C1EFAF" w14:textId="57C2B66E" w:rsidR="004005AF" w:rsidRDefault="004005AF" w:rsidP="00F01ED6">
      <w:pPr>
        <w:pStyle w:val="ProductList-Body"/>
        <w:ind w:left="360"/>
      </w:pPr>
      <w:r>
        <w:t xml:space="preserve">A </w:t>
      </w:r>
      <w:r w:rsidR="00380305">
        <w:t>“</w:t>
      </w:r>
      <w:r>
        <w:rPr>
          <w:b/>
          <w:color w:val="0072C6"/>
        </w:rPr>
        <w:t>Percentagem de Débito</w:t>
      </w:r>
      <w:r w:rsidR="00380305">
        <w:t>”</w:t>
      </w:r>
      <w:r>
        <w:t xml:space="preserve"> para o Serviço Azure Cosmos</w:t>
      </w:r>
      <w:r>
        <w:rPr>
          <w:rStyle w:val="ProductList-BodyChar"/>
        </w:rPr>
        <w:t xml:space="preserve"> DB</w:t>
      </w:r>
      <w:r>
        <w:t xml:space="preserve"> é calculada ao subtrair de 100% a Taxa Média de Erros para uma determinada subscrição do Microsoft Azure num Período Aplicável. </w:t>
      </w:r>
    </w:p>
    <w:p w14:paraId="2B14C91E" w14:textId="61E0049C" w:rsidR="004005AF" w:rsidRPr="00EF7CF9" w:rsidRDefault="004005AF" w:rsidP="00F01ED6">
      <w:pPr>
        <w:pStyle w:val="ProductList-Body"/>
        <w:ind w:left="360"/>
      </w:pPr>
      <w:r>
        <w:t>A Percentagem de Débito é representada pela seguinte fórmula:</w:t>
      </w:r>
    </w:p>
    <w:p w14:paraId="577454BF" w14:textId="77777777" w:rsidR="004005AF" w:rsidRPr="000974C9" w:rsidRDefault="004005AF" w:rsidP="00F01ED6">
      <w:pPr>
        <w:pStyle w:val="ProductList-Body"/>
        <w:ind w:left="360"/>
        <w:rPr>
          <w:sz w:val="12"/>
          <w:szCs w:val="12"/>
        </w:rPr>
      </w:pPr>
    </w:p>
    <w:p w14:paraId="24E4085B" w14:textId="246B5501" w:rsidR="004005AF" w:rsidRPr="00EF7CF9" w:rsidRDefault="008E7C1C" w:rsidP="00F01ED6">
      <w:pPr>
        <w:pStyle w:val="ProductList-Body"/>
        <w:rPr>
          <w:rFonts w:ascii="Cambria Math" w:hAnsi="Cambria Math" w:cs="Tahoma"/>
          <w:i/>
          <w:sz w:val="12"/>
          <w:szCs w:val="12"/>
        </w:rPr>
      </w:pPr>
      <m:oMathPara>
        <m:oMath>
          <m:r>
            <m:rPr>
              <m:nor/>
            </m:rPr>
            <w:rPr>
              <w:rFonts w:ascii="Cambria Math" w:hAnsi="Cambria Math" w:cs="Tahoma"/>
              <w:i/>
              <w:szCs w:val="18"/>
            </w:rPr>
            <m:t xml:space="preserve">100% – Taxa Média de Erros </m:t>
          </m:r>
        </m:oMath>
      </m:oMathPara>
    </w:p>
    <w:p w14:paraId="5B21488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F01ED6">
            <w:pPr>
              <w:pStyle w:val="ProductList-OfferingBody"/>
              <w:jc w:val="center"/>
              <w:rPr>
                <w:color w:val="FFFFFF" w:themeColor="background1"/>
              </w:rPr>
            </w:pPr>
            <w:r>
              <w:rPr>
                <w:color w:val="FFFFFF" w:themeColor="background1"/>
              </w:rPr>
              <w:t>Percentagem de Débito</w:t>
            </w:r>
          </w:p>
        </w:tc>
        <w:tc>
          <w:tcPr>
            <w:tcW w:w="5220" w:type="dxa"/>
            <w:shd w:val="clear" w:color="auto" w:fill="0072C6"/>
          </w:tcPr>
          <w:p w14:paraId="0DE5CEE7"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F01ED6">
            <w:pPr>
              <w:pStyle w:val="ProductList-OfferingBody"/>
              <w:jc w:val="center"/>
            </w:pPr>
            <w:r>
              <w:t>&lt; 99,99%</w:t>
            </w:r>
          </w:p>
        </w:tc>
        <w:tc>
          <w:tcPr>
            <w:tcW w:w="5220" w:type="dxa"/>
          </w:tcPr>
          <w:p w14:paraId="0C4E3866" w14:textId="77777777" w:rsidR="004005AF" w:rsidRPr="00EF7CF9" w:rsidRDefault="004005AF" w:rsidP="00F01ED6">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F01ED6">
            <w:pPr>
              <w:pStyle w:val="ProductList-OfferingBody"/>
              <w:jc w:val="center"/>
            </w:pPr>
            <w:r>
              <w:t>&lt; 99%</w:t>
            </w:r>
          </w:p>
        </w:tc>
        <w:tc>
          <w:tcPr>
            <w:tcW w:w="5220" w:type="dxa"/>
          </w:tcPr>
          <w:p w14:paraId="479B13B2" w14:textId="77777777" w:rsidR="004005AF" w:rsidRPr="00EF7CF9" w:rsidRDefault="004005AF" w:rsidP="00F01ED6">
            <w:pPr>
              <w:pStyle w:val="ProductList-OfferingBody"/>
              <w:jc w:val="center"/>
            </w:pPr>
            <w:r>
              <w:t>25%</w:t>
            </w:r>
          </w:p>
        </w:tc>
      </w:tr>
    </w:tbl>
    <w:p w14:paraId="39A739D8" w14:textId="77777777" w:rsidR="004005AF" w:rsidRPr="00EF7CF9" w:rsidRDefault="004005AF" w:rsidP="00F01ED6">
      <w:pPr>
        <w:pStyle w:val="ProductList-Body"/>
      </w:pPr>
    </w:p>
    <w:p w14:paraId="5F62F759" w14:textId="77777777" w:rsidR="004005AF" w:rsidRPr="00EF7CF9" w:rsidRDefault="004005AF" w:rsidP="00F01ED6">
      <w:pPr>
        <w:pStyle w:val="ProductList-Body"/>
        <w:tabs>
          <w:tab w:val="clear" w:pos="360"/>
        </w:tabs>
        <w:rPr>
          <w:b/>
          <w:color w:val="00188F"/>
        </w:rPr>
      </w:pPr>
      <w:r>
        <w:rPr>
          <w:b/>
          <w:color w:val="00188F"/>
        </w:rPr>
        <w:t>SLA de Consistência</w:t>
      </w:r>
    </w:p>
    <w:p w14:paraId="72B7F00A" w14:textId="3DF643D7" w:rsidR="004005AF" w:rsidRPr="00EF7CF9" w:rsidRDefault="00380305" w:rsidP="00F01ED6">
      <w:pPr>
        <w:pStyle w:val="ProductList-Body"/>
        <w:ind w:left="360"/>
      </w:pPr>
      <w:r>
        <w:t>“</w:t>
      </w:r>
      <w:r w:rsidR="004005AF">
        <w:rPr>
          <w:b/>
          <w:color w:val="0072C6"/>
        </w:rPr>
        <w:t>K</w:t>
      </w:r>
      <w:r>
        <w:t>”</w:t>
      </w:r>
      <w:r w:rsidR="004005AF">
        <w:t xml:space="preserve"> é o número de versões de um determinado item de dados para o qual as leituras estão atrasadas em relação às escritas.</w:t>
      </w:r>
    </w:p>
    <w:p w14:paraId="1580A041" w14:textId="29D4EF00" w:rsidR="004005AF" w:rsidRPr="00EF7CF9" w:rsidRDefault="00380305" w:rsidP="00F01ED6">
      <w:pPr>
        <w:pStyle w:val="ProductList-Body"/>
        <w:ind w:left="360"/>
      </w:pPr>
      <w:r>
        <w:t>“</w:t>
      </w:r>
      <w:r w:rsidR="004005AF">
        <w:rPr>
          <w:b/>
          <w:color w:val="0072C6"/>
        </w:rPr>
        <w:t>T</w:t>
      </w:r>
      <w:r>
        <w:t>”</w:t>
      </w:r>
      <w:r w:rsidR="004005AF">
        <w:t xml:space="preserve"> é um determinado intervalo de tempo.</w:t>
      </w:r>
    </w:p>
    <w:p w14:paraId="02909165" w14:textId="40C1B7BC" w:rsidR="004005AF" w:rsidRPr="00EF7CF9" w:rsidRDefault="00380305" w:rsidP="00F01ED6">
      <w:pPr>
        <w:pStyle w:val="ProductList-Body"/>
        <w:ind w:left="360"/>
      </w:pPr>
      <w:r>
        <w:t>“</w:t>
      </w:r>
      <w:r w:rsidR="004005AF">
        <w:rPr>
          <w:b/>
          <w:color w:val="0072C6"/>
        </w:rPr>
        <w:t>Nível de consistência</w:t>
      </w:r>
      <w:r>
        <w:t>”</w:t>
      </w:r>
      <w:r w:rsidR="004005AF">
        <w:t xml:space="preserve"> é a definição de um determinado pedido de leitura que suporta garantias de consistência. A tabela seguinte captura as garantias associadas aos Níveis de Consistência. Note que os Níveis de Consistência de Sessão, de Ecletismo, de Prefixo Consistente e Eventual são todos referidos como </w:t>
      </w:r>
      <w:r>
        <w:t>“</w:t>
      </w:r>
      <w:r w:rsidR="004005AF">
        <w:t>relaxados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F01ED6">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F01ED6">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F01ED6">
            <w:pPr>
              <w:pStyle w:val="ProductList-OfferingBody"/>
            </w:pPr>
            <w:r>
              <w:t>Forte</w:t>
            </w:r>
          </w:p>
        </w:tc>
        <w:tc>
          <w:tcPr>
            <w:tcW w:w="5220" w:type="dxa"/>
          </w:tcPr>
          <w:p w14:paraId="3C6B3EDC" w14:textId="77777777" w:rsidR="004005AF" w:rsidRPr="00EF7CF9" w:rsidRDefault="004005AF" w:rsidP="00F01ED6">
            <w:pPr>
              <w:pStyle w:val="ProductList-OfferingBody"/>
            </w:pPr>
            <w:r>
              <w:t>Coerência atómica</w:t>
            </w:r>
          </w:p>
        </w:tc>
      </w:tr>
      <w:tr w:rsidR="004005AF" w:rsidRPr="00B44CF9" w14:paraId="3B5F933E" w14:textId="77777777" w:rsidTr="000F31B4">
        <w:tc>
          <w:tcPr>
            <w:tcW w:w="5220" w:type="dxa"/>
          </w:tcPr>
          <w:p w14:paraId="256D156C" w14:textId="77777777" w:rsidR="004005AF" w:rsidRPr="00EF7CF9" w:rsidRDefault="004005AF" w:rsidP="00F01ED6">
            <w:pPr>
              <w:pStyle w:val="ProductList-OfferingBody"/>
            </w:pPr>
            <w:r>
              <w:t>Sessão</w:t>
            </w:r>
          </w:p>
        </w:tc>
        <w:tc>
          <w:tcPr>
            <w:tcW w:w="5220" w:type="dxa"/>
          </w:tcPr>
          <w:p w14:paraId="64DB8B80"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583A157" w14:textId="77777777" w:rsidR="004005AF" w:rsidRPr="00EF7CF9" w:rsidRDefault="004005AF" w:rsidP="00F01ED6">
            <w:pPr>
              <w:pStyle w:val="ProductList-Body"/>
              <w:rPr>
                <w:sz w:val="16"/>
                <w:szCs w:val="16"/>
              </w:rPr>
            </w:pPr>
            <w:r>
              <w:rPr>
                <w:sz w:val="16"/>
                <w:szCs w:val="16"/>
              </w:rPr>
              <w:t>Leitura Monotónica</w:t>
            </w:r>
          </w:p>
          <w:p w14:paraId="35D15967" w14:textId="77777777" w:rsidR="004005AF" w:rsidRPr="00EF7CF9" w:rsidRDefault="004005AF" w:rsidP="00F01ED6">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F01ED6">
            <w:pPr>
              <w:pStyle w:val="ProductList-OfferingBody"/>
            </w:pPr>
            <w:r>
              <w:t>Ecletismo</w:t>
            </w:r>
          </w:p>
        </w:tc>
        <w:tc>
          <w:tcPr>
            <w:tcW w:w="5220" w:type="dxa"/>
          </w:tcPr>
          <w:p w14:paraId="168DBAC5"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642D515" w14:textId="77777777" w:rsidR="004005AF" w:rsidRPr="00EF7CF9" w:rsidRDefault="004005AF" w:rsidP="00F01ED6">
            <w:pPr>
              <w:pStyle w:val="ProductList-Body"/>
              <w:rPr>
                <w:sz w:val="16"/>
                <w:szCs w:val="16"/>
              </w:rPr>
            </w:pPr>
            <w:r>
              <w:rPr>
                <w:sz w:val="16"/>
                <w:szCs w:val="16"/>
              </w:rPr>
              <w:t>Leitura Monotónica (numa região)</w:t>
            </w:r>
          </w:p>
          <w:p w14:paraId="5CF56556" w14:textId="77777777" w:rsidR="004005AF" w:rsidRPr="00EF7CF9" w:rsidRDefault="004005AF" w:rsidP="00F01ED6">
            <w:pPr>
              <w:pStyle w:val="ProductList-OfferingBody"/>
              <w:rPr>
                <w:szCs w:val="16"/>
              </w:rPr>
            </w:pPr>
            <w:r>
              <w:rPr>
                <w:szCs w:val="16"/>
              </w:rPr>
              <w:t>Prefixo Consistente</w:t>
            </w:r>
          </w:p>
          <w:p w14:paraId="4D3D84DC" w14:textId="77777777" w:rsidR="004005AF" w:rsidRPr="00EF7CF9" w:rsidRDefault="004005AF" w:rsidP="00F01ED6">
            <w:pPr>
              <w:pStyle w:val="ProductList-Body"/>
              <w:rPr>
                <w:sz w:val="16"/>
                <w:szCs w:val="16"/>
              </w:rPr>
            </w:pPr>
            <w:r>
              <w:rPr>
                <w:sz w:val="16"/>
                <w:szCs w:val="16"/>
              </w:rPr>
              <w:t>Estagnação Limitada &lt; K,T</w:t>
            </w:r>
          </w:p>
        </w:tc>
      </w:tr>
      <w:tr w:rsidR="004005AF" w:rsidRPr="00B44CF9" w14:paraId="0AE56105" w14:textId="77777777" w:rsidTr="000F31B4">
        <w:tc>
          <w:tcPr>
            <w:tcW w:w="5220" w:type="dxa"/>
          </w:tcPr>
          <w:p w14:paraId="539E3B1F" w14:textId="77777777" w:rsidR="004005AF" w:rsidRPr="00EF7CF9" w:rsidRDefault="004005AF" w:rsidP="00F01ED6">
            <w:pPr>
              <w:pStyle w:val="ProductList-OfferingBody"/>
            </w:pPr>
            <w:r>
              <w:t>Prefixo Consistente</w:t>
            </w:r>
          </w:p>
        </w:tc>
        <w:tc>
          <w:tcPr>
            <w:tcW w:w="5220" w:type="dxa"/>
          </w:tcPr>
          <w:p w14:paraId="784F07A6"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F01ED6">
            <w:pPr>
              <w:pStyle w:val="ProductList-OfferingBody"/>
            </w:pPr>
            <w:r>
              <w:t>Eventual</w:t>
            </w:r>
          </w:p>
        </w:tc>
        <w:tc>
          <w:tcPr>
            <w:tcW w:w="5220" w:type="dxa"/>
          </w:tcPr>
          <w:p w14:paraId="35D3E71F" w14:textId="77777777" w:rsidR="004005AF" w:rsidRPr="00EF7CF9" w:rsidRDefault="004005AF" w:rsidP="00F01ED6">
            <w:pPr>
              <w:pStyle w:val="ProductList-OfferingBody"/>
            </w:pPr>
            <w:r>
              <w:t>Eventual</w:t>
            </w:r>
          </w:p>
        </w:tc>
      </w:tr>
    </w:tbl>
    <w:p w14:paraId="71C434D2" w14:textId="7D871AAA" w:rsidR="004005AF" w:rsidRPr="00EF7CF9" w:rsidRDefault="004005AF" w:rsidP="00F01ED6">
      <w:pPr>
        <w:pStyle w:val="ProductList-Body"/>
        <w:ind w:left="360"/>
      </w:pPr>
      <w:r>
        <w:t xml:space="preserve">A </w:t>
      </w:r>
      <w:r w:rsidR="00380305">
        <w:t>“</w:t>
      </w:r>
      <w:r>
        <w:rPr>
          <w:b/>
          <w:color w:val="0072C6"/>
        </w:rPr>
        <w:t>Taxa de Violações de Consistência</w:t>
      </w:r>
      <w:r w:rsidR="00380305">
        <w:t>”</w:t>
      </w:r>
      <w:r>
        <w:t xml:space="preserve"> indica os Pedidos Com Êxito que não foi possível entregar ao exercer as garantias de consistência especificadas para o Nível de Consistência escolhido, dividido pelo Total de Pedidos, em todos os Recursos numa determinada subscrição do</w:t>
      </w:r>
      <w:r w:rsidR="00320399">
        <w:t> </w:t>
      </w:r>
      <w:r>
        <w:t>Azure, durante um determinado intervalo de uma hora. Se o Total de Pedidos num determinado intervalo de uma hora for zero, a Taxa de</w:t>
      </w:r>
      <w:r w:rsidR="00320399">
        <w:t> </w:t>
      </w:r>
      <w:r>
        <w:t>Violação de Consistência para esse intervalo é de 0%.</w:t>
      </w:r>
    </w:p>
    <w:p w14:paraId="0F2B553A" w14:textId="4DAC4AD3" w:rsidR="004005AF" w:rsidRPr="00EF7CF9" w:rsidRDefault="004005AF" w:rsidP="00F01ED6">
      <w:pPr>
        <w:pStyle w:val="ProductList-Body"/>
        <w:ind w:left="360"/>
      </w:pPr>
      <w:r>
        <w:t xml:space="preserve">A </w:t>
      </w:r>
      <w:r w:rsidR="00380305">
        <w:t>“</w:t>
      </w:r>
      <w:r>
        <w:rPr>
          <w:b/>
          <w:color w:val="0072C6"/>
        </w:rPr>
        <w:t>Taxa Média de Violação da Consistência</w:t>
      </w:r>
      <w:r w:rsidR="00380305">
        <w:t>”</w:t>
      </w:r>
      <w:r>
        <w:t xml:space="preserve"> para um Período Aplicável é a soma das Taxas de Violação da Consistência para cada hora no</w:t>
      </w:r>
      <w:r w:rsidR="00E8396C">
        <w:t> </w:t>
      </w:r>
      <w:r>
        <w:t>Período Aplicável, a dividir pelo número total de horas no mês de faturação.</w:t>
      </w:r>
    </w:p>
    <w:p w14:paraId="0C714C25" w14:textId="38CA9ECE" w:rsidR="004005AF" w:rsidRPr="00EF7CF9" w:rsidRDefault="004005AF" w:rsidP="00F01ED6">
      <w:pPr>
        <w:pStyle w:val="ProductList-Body"/>
        <w:ind w:left="360"/>
      </w:pPr>
      <w:r>
        <w:t xml:space="preserve">A </w:t>
      </w:r>
      <w:r w:rsidR="00380305">
        <w:t>“</w:t>
      </w:r>
      <w:r>
        <w:rPr>
          <w:b/>
          <w:color w:val="0072C6"/>
        </w:rPr>
        <w:t>Percentagem de Concretização da Consistência</w:t>
      </w:r>
      <w:r w:rsidR="00380305">
        <w:t>”</w:t>
      </w:r>
      <w:r>
        <w:t xml:space="preserve"> para o Serviço Azure Cosmos</w:t>
      </w:r>
      <w:r>
        <w:rPr>
          <w:rStyle w:val="ProductList-BodyChar"/>
        </w:rPr>
        <w:t xml:space="preserve"> DB</w:t>
      </w:r>
      <w:r>
        <w:t xml:space="preserve"> é calculada ao subtrair de 100% a Taxa de Violação da</w:t>
      </w:r>
      <w:r w:rsidR="007C5AC8">
        <w:t> </w:t>
      </w:r>
      <w:r>
        <w:t xml:space="preserve">Consistência Média para uma determinada subscrição do Microsoft Azure num Período Aplicável. </w:t>
      </w:r>
    </w:p>
    <w:p w14:paraId="7182D226" w14:textId="11AAA323" w:rsidR="004005AF" w:rsidRDefault="004005AF" w:rsidP="00F01ED6">
      <w:pPr>
        <w:pStyle w:val="ProductList-Body"/>
        <w:ind w:left="360"/>
      </w:pPr>
      <w:r>
        <w:rPr>
          <w:b/>
          <w:color w:val="0072C6"/>
        </w:rPr>
        <w:t>Percentagem de Consistência</w:t>
      </w:r>
      <w:r w:rsidRPr="00473DD3">
        <w:rPr>
          <w:b/>
          <w:color w:val="0072C6"/>
        </w:rPr>
        <w:t>:</w:t>
      </w:r>
      <w:r>
        <w:t xml:space="preserve"> Para o Serviço Azure Cosmos</w:t>
      </w:r>
      <w:r>
        <w:rPr>
          <w:rStyle w:val="ProductList-BodyChar"/>
        </w:rPr>
        <w:t xml:space="preserve"> DB</w:t>
      </w:r>
      <w:r>
        <w:t>, é calculada ao subtrair de 100% a Taxa Média de Violação da Consistência para uma determinada subscrição do Microsoft Azure num Período Aplicável.</w:t>
      </w:r>
    </w:p>
    <w:p w14:paraId="42C4EA2D" w14:textId="24BA79AA" w:rsidR="004005AF" w:rsidRPr="00EF7CF9" w:rsidRDefault="004005AF" w:rsidP="00F01ED6">
      <w:pPr>
        <w:pStyle w:val="ProductList-Body"/>
        <w:ind w:left="360"/>
      </w:pPr>
      <w:r>
        <w:t>A Percentagem de Consistência é representada pela seguinte fórmula:</w:t>
      </w:r>
    </w:p>
    <w:p w14:paraId="17588941" w14:textId="77777777" w:rsidR="004005AF" w:rsidRPr="00EF7CF9" w:rsidRDefault="004005AF" w:rsidP="00F01ED6">
      <w:pPr>
        <w:pStyle w:val="ProductList-Body"/>
      </w:pPr>
    </w:p>
    <w:p w14:paraId="3A965256" w14:textId="1CEA141B"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de Violação da Consistência Média</m:t>
          </m:r>
        </m:oMath>
      </m:oMathPara>
    </w:p>
    <w:p w14:paraId="33E19146" w14:textId="77777777" w:rsidR="004005AF" w:rsidRPr="00EF7CF9" w:rsidRDefault="004005AF" w:rsidP="00F01ED6">
      <w:pPr>
        <w:pStyle w:val="ProductList-Body"/>
        <w:keepNext/>
        <w:ind w:left="360"/>
        <w:rPr>
          <w:color w:val="0072C6"/>
        </w:rPr>
      </w:pPr>
      <w:r>
        <w:rPr>
          <w:b/>
          <w:color w:val="0072C6"/>
        </w:rPr>
        <w:t>Crédito de Serviço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F01ED6">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59B55E7E"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F01ED6">
            <w:pPr>
              <w:pStyle w:val="ProductList-OfferingBody"/>
              <w:jc w:val="center"/>
            </w:pPr>
            <w:r>
              <w:t>&lt; 99,99%</w:t>
            </w:r>
          </w:p>
        </w:tc>
        <w:tc>
          <w:tcPr>
            <w:tcW w:w="5220" w:type="dxa"/>
          </w:tcPr>
          <w:p w14:paraId="0E39649E" w14:textId="77777777" w:rsidR="004005AF" w:rsidRPr="00EF7CF9" w:rsidRDefault="004005AF" w:rsidP="00F01ED6">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F01ED6">
            <w:pPr>
              <w:pStyle w:val="ProductList-OfferingBody"/>
              <w:jc w:val="center"/>
            </w:pPr>
            <w:r>
              <w:t>&lt; 99%</w:t>
            </w:r>
          </w:p>
        </w:tc>
        <w:tc>
          <w:tcPr>
            <w:tcW w:w="5220" w:type="dxa"/>
          </w:tcPr>
          <w:p w14:paraId="13E7C80C" w14:textId="77777777" w:rsidR="004005AF" w:rsidRPr="00EF7CF9" w:rsidRDefault="004005AF" w:rsidP="00F01ED6">
            <w:pPr>
              <w:pStyle w:val="ProductList-OfferingBody"/>
              <w:jc w:val="center"/>
            </w:pPr>
            <w:r>
              <w:t>25%</w:t>
            </w:r>
          </w:p>
        </w:tc>
      </w:tr>
    </w:tbl>
    <w:p w14:paraId="5FC729A1" w14:textId="77777777" w:rsidR="004005AF" w:rsidRPr="00EF7CF9" w:rsidRDefault="004005AF" w:rsidP="00F01ED6">
      <w:pPr>
        <w:pStyle w:val="ProductList-Body"/>
        <w:tabs>
          <w:tab w:val="clear" w:pos="360"/>
        </w:tabs>
        <w:rPr>
          <w:b/>
          <w:color w:val="00188F"/>
        </w:rPr>
      </w:pPr>
      <w:r>
        <w:rPr>
          <w:b/>
          <w:color w:val="00188F"/>
        </w:rPr>
        <w:t>SLA da Latência</w:t>
      </w:r>
    </w:p>
    <w:p w14:paraId="7694E16C" w14:textId="5509B04B" w:rsidR="004005AF" w:rsidRPr="00EF7CF9" w:rsidRDefault="00380305" w:rsidP="00F01ED6">
      <w:pPr>
        <w:pStyle w:val="ProductList-Body"/>
        <w:ind w:left="360"/>
      </w:pPr>
      <w:r>
        <w:t>“</w:t>
      </w:r>
      <w:r w:rsidR="004005AF">
        <w:rPr>
          <w:b/>
          <w:color w:val="0072C6"/>
        </w:rPr>
        <w:t>Aplicação</w:t>
      </w:r>
      <w:r>
        <w:t>”</w:t>
      </w:r>
      <w:r w:rsidR="004005AF">
        <w:t xml:space="preserve"> é uma aplicação do Azure Cosmos</w:t>
      </w:r>
      <w:r w:rsidR="004005AF">
        <w:rPr>
          <w:rStyle w:val="ProductList-BodyChar"/>
        </w:rPr>
        <w:t xml:space="preserve"> DB</w:t>
      </w:r>
      <w:r w:rsidR="004005AF">
        <w:t xml:space="preserve"> implementada numa região local do Azure com funcionamento em rede acelerado ativado e</w:t>
      </w:r>
      <w:r w:rsidR="0088023E">
        <w:t> </w:t>
      </w:r>
      <w:r w:rsidR="004005AF">
        <w:t>utilizando o SDK do cliente Azure Cosmos</w:t>
      </w:r>
      <w:r w:rsidR="004005AF">
        <w:rPr>
          <w:rStyle w:val="ProductList-BodyChar"/>
        </w:rPr>
        <w:t xml:space="preserve"> DB</w:t>
      </w:r>
      <w:r w:rsidR="004005AF">
        <w:t xml:space="preserve"> configurado com conectividade direta TCP para uma determinada subscrição do Microsoft Azure num Período Aplicável.</w:t>
      </w:r>
    </w:p>
    <w:p w14:paraId="4898E791" w14:textId="08C7A803" w:rsidR="004005AF" w:rsidRDefault="00380305" w:rsidP="00F01ED6">
      <w:pPr>
        <w:pStyle w:val="ProductList-Body"/>
        <w:ind w:left="360"/>
      </w:pPr>
      <w:r>
        <w:t>“</w:t>
      </w:r>
      <w:r w:rsidR="004005AF">
        <w:rPr>
          <w:b/>
          <w:color w:val="0072C6"/>
        </w:rPr>
        <w:t>N</w:t>
      </w:r>
      <w:r>
        <w:t>”</w:t>
      </w:r>
      <w:r w:rsidR="004005AF">
        <w:t xml:space="preserve"> é o número de Pedidos Com Êxito para uma determinada Aplicação a efetuar operações de leitura de itens de dados ou de escrita de itens de dados com um tamanho de payload menor ou igual a 1 KB numa determinada hora.</w:t>
      </w:r>
    </w:p>
    <w:p w14:paraId="2CF87EEB" w14:textId="3536C370" w:rsidR="004005AF" w:rsidRPr="00EF7CF9" w:rsidRDefault="00380305" w:rsidP="00F01ED6">
      <w:pPr>
        <w:pStyle w:val="ProductList-Body"/>
        <w:ind w:left="360"/>
      </w:pPr>
      <w:r>
        <w:t>“</w:t>
      </w:r>
      <w:r w:rsidR="004005AF">
        <w:rPr>
          <w:b/>
          <w:color w:val="0072C6"/>
        </w:rPr>
        <w:t>S</w:t>
      </w:r>
      <w:r>
        <w:t>”</w:t>
      </w:r>
      <w:r w:rsidR="004005AF">
        <w:t xml:space="preserve">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5429BDA9" w14:textId="64F35F5D" w:rsidR="004005AF" w:rsidRDefault="00380305" w:rsidP="00F01ED6">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utiliza o método de classificação mais próximo representado pela seguinte fórmula</w:t>
      </w:r>
      <w:r w:rsidR="004005AF" w:rsidRPr="00473DD3">
        <w:rPr>
          <w:rStyle w:val="ProductList-BodyChar"/>
        </w:rPr>
        <w:t>:</w:t>
      </w:r>
    </w:p>
    <w:p w14:paraId="605DD063" w14:textId="77777777" w:rsidR="004005AF" w:rsidRPr="00B32E8E" w:rsidRDefault="004005AF" w:rsidP="00F01ED6">
      <w:pPr>
        <w:pStyle w:val="ListParagraph"/>
        <w:spacing w:after="0" w:line="240" w:lineRule="auto"/>
        <w:ind w:left="360"/>
        <w:rPr>
          <w:rFonts w:eastAsiaTheme="minorEastAsia"/>
          <w:sz w:val="18"/>
        </w:rPr>
      </w:pPr>
    </w:p>
    <w:p w14:paraId="0A10578F" w14:textId="690F3B2D" w:rsidR="004005AF" w:rsidRPr="00EF7CF9" w:rsidRDefault="00495285" w:rsidP="00F01ED6">
      <w:pPr>
        <w:pStyle w:val="ListParagraph"/>
        <w:spacing w:line="240" w:lineRule="auto"/>
        <w:ind w:left="360"/>
        <w:rPr>
          <w:rFonts w:ascii="Cambria Math" w:hAnsi="Cambria Math" w:cs="Tahoma"/>
          <w:i/>
          <w:sz w:val="12"/>
          <w:szCs w:val="12"/>
        </w:rPr>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5FE9C04" w:rsidR="004005AF" w:rsidRPr="00EF7CF9" w:rsidRDefault="00380305" w:rsidP="00F01ED6">
      <w:pPr>
        <w:pStyle w:val="ProductList-Body"/>
        <w:ind w:left="360"/>
      </w:pPr>
      <w:r>
        <w:t>“</w:t>
      </w:r>
      <w:r w:rsidR="004005AF">
        <w:rPr>
          <w:b/>
          <w:color w:val="0072C6"/>
        </w:rPr>
        <w:t>Latência P99</w:t>
      </w:r>
      <w:r>
        <w:t>”</w:t>
      </w:r>
      <w:r w:rsidR="004005AF">
        <w:t xml:space="preserve"> é o valor da Classificação Ordinal de S.</w:t>
      </w:r>
    </w:p>
    <w:p w14:paraId="6994DAF4" w14:textId="56666A42" w:rsidR="004005AF" w:rsidRPr="00EF7CF9" w:rsidRDefault="00380305" w:rsidP="00F01ED6">
      <w:pPr>
        <w:pStyle w:val="ProductList-Body"/>
        <w:ind w:left="360"/>
      </w:pPr>
      <w:r>
        <w:t>“</w:t>
      </w:r>
      <w:r w:rsidR="004005AF">
        <w:rPr>
          <w:b/>
          <w:color w:val="0072C6"/>
        </w:rPr>
        <w:t>Horas de Latência Excessiva</w:t>
      </w:r>
      <w:r>
        <w:t>”</w:t>
      </w:r>
      <w:r w:rsidR="004005AF">
        <w:t xml:space="preserve"> é o número total de intervalos de uma hora durante o qual os Pedidos Com Êxito submetidos por uma Aplicação resultaram numa Latência P99 maior ou igual a 10 ms para as operações de leitura de itens de dados ou 10 ms para as operações de</w:t>
      </w:r>
      <w:r w:rsidR="00350FCF">
        <w:t> </w:t>
      </w:r>
      <w:r w:rsidR="004005AF">
        <w:t>escrita de itens de dados. Se o número de Pedidos Com Êxito num determinado intervalo de uma hora for zero, as Horas de Latência Excessiva para esse intervalo é de 0.</w:t>
      </w:r>
    </w:p>
    <w:p w14:paraId="0EA0BAE7" w14:textId="2A328EA3" w:rsidR="004005AF" w:rsidRPr="00EF7CF9" w:rsidRDefault="00380305" w:rsidP="00F01ED6">
      <w:pPr>
        <w:pStyle w:val="ProductList-Body"/>
        <w:ind w:left="360"/>
      </w:pPr>
      <w:r>
        <w:t>“</w:t>
      </w:r>
      <w:r w:rsidR="004005AF">
        <w:rPr>
          <w:b/>
          <w:color w:val="0072C6"/>
        </w:rPr>
        <w:t>Taxa Média de Latência Excessiva</w:t>
      </w:r>
      <w:r>
        <w:t>”</w:t>
      </w:r>
      <w:r w:rsidR="004005AF">
        <w:t xml:space="preserve"> para um Período Aplicável é a soma das Horas de Latência Excessiva a dividir pelo número total de horas no Período Aplicável.</w:t>
      </w:r>
    </w:p>
    <w:p w14:paraId="472EF7D9" w14:textId="209A35DA" w:rsidR="004005AF" w:rsidRDefault="004005AF" w:rsidP="00F01ED6">
      <w:pPr>
        <w:pStyle w:val="ProductList-Body"/>
        <w:ind w:left="360"/>
      </w:pPr>
      <w:r>
        <w:t xml:space="preserve">A </w:t>
      </w:r>
      <w:r w:rsidR="00380305">
        <w:t>“</w:t>
      </w:r>
      <w:r>
        <w:rPr>
          <w:b/>
          <w:color w:val="0072C6"/>
        </w:rPr>
        <w:t>Percentagem de Concretização de Latência de P99</w:t>
      </w:r>
      <w:r w:rsidR="00380305">
        <w:t>”</w:t>
      </w:r>
      <w:r>
        <w:t xml:space="preserve"> para uma determinada Aplicação Azure Cosmos</w:t>
      </w:r>
      <w:r>
        <w:rPr>
          <w:rStyle w:val="ProductList-BodyChar"/>
        </w:rPr>
        <w:t xml:space="preserve"> DB</w:t>
      </w:r>
      <w:r>
        <w:t xml:space="preserve"> implementada através das Contas da Base de Dados destinadas a uma única região do Azure configuradas com qualquer um dos cinco Níveis de Consistência ou Contas da Base de Dados abrangendo múltiplas regiões, configuradas com qualquer um dos quatro Níveis de Consistência relaxados ao subtrair de 100% a</w:t>
      </w:r>
      <w:r w:rsidR="0090773A">
        <w:t> </w:t>
      </w:r>
      <w:r>
        <w:t>Taxa Média de Latência Excessiva para uma determinada subscrição do Microsoft Azure num Período Aplicável.</w:t>
      </w:r>
    </w:p>
    <w:p w14:paraId="6FE7280E" w14:textId="44C12839" w:rsidR="004005AF" w:rsidRDefault="004005AF" w:rsidP="00F01ED6">
      <w:pPr>
        <w:pStyle w:val="ProductList-Body"/>
        <w:ind w:left="360"/>
      </w:pPr>
      <w:r>
        <w:t>A Percentagem de Concretização de Latência de P99 é representada pela seguinte fórmula:</w:t>
      </w:r>
    </w:p>
    <w:p w14:paraId="2841E456" w14:textId="77777777" w:rsidR="00491D0A" w:rsidRPr="00EF7CF9" w:rsidRDefault="00491D0A" w:rsidP="00F01ED6">
      <w:pPr>
        <w:pStyle w:val="ProductList-Body"/>
        <w:ind w:left="360"/>
      </w:pPr>
    </w:p>
    <w:p w14:paraId="11F89454" w14:textId="5E7C2906" w:rsidR="004005AF" w:rsidRPr="00EF7CF9" w:rsidRDefault="008E7C1C" w:rsidP="00F01ED6">
      <w:pPr>
        <w:pStyle w:val="ProductList-Body"/>
        <w:rPr>
          <w:rFonts w:ascii="Cambria Math" w:hAnsi="Cambria Math" w:cs="Tahoma"/>
          <w:i/>
          <w:sz w:val="12"/>
          <w:szCs w:val="12"/>
        </w:rPr>
      </w:pPr>
      <m:oMathPara>
        <m:oMath>
          <m:r>
            <m:rPr>
              <m:nor/>
            </m:rPr>
            <w:rPr>
              <w:rFonts w:ascii="Cambria Math" w:hAnsi="Cambria Math" w:cs="Tahoma"/>
              <w:i/>
              <w:szCs w:val="18"/>
            </w:rPr>
            <m:t>100% – Taxa de Latência Excessiva Média</m:t>
          </m:r>
        </m:oMath>
      </m:oMathPara>
    </w:p>
    <w:p w14:paraId="085F1C15" w14:textId="77777777" w:rsidR="004005AF" w:rsidRDefault="004005AF" w:rsidP="00F01ED6">
      <w:pPr>
        <w:pStyle w:val="ProductList-Body"/>
        <w:keepNext/>
        <w:ind w:left="360"/>
        <w:rPr>
          <w:b/>
          <w:color w:val="0072C6"/>
        </w:rPr>
      </w:pPr>
    </w:p>
    <w:p w14:paraId="43C502A2"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F01ED6">
            <w:pPr>
              <w:pStyle w:val="ProductList-OfferingBody"/>
              <w:jc w:val="center"/>
              <w:rPr>
                <w:color w:val="FFFFFF" w:themeColor="background1"/>
              </w:rPr>
            </w:pPr>
            <w:r>
              <w:rPr>
                <w:color w:val="FFFFFF" w:themeColor="background1"/>
              </w:rPr>
              <w:t>Percentagem de Concretização de Latência de P99</w:t>
            </w:r>
          </w:p>
        </w:tc>
        <w:tc>
          <w:tcPr>
            <w:tcW w:w="5220" w:type="dxa"/>
            <w:shd w:val="clear" w:color="auto" w:fill="0072C6"/>
          </w:tcPr>
          <w:p w14:paraId="1F5BD7AF"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F01ED6">
            <w:pPr>
              <w:pStyle w:val="ProductList-OfferingBody"/>
              <w:jc w:val="center"/>
            </w:pPr>
            <w:r>
              <w:t>&lt; 99,99%</w:t>
            </w:r>
          </w:p>
        </w:tc>
        <w:tc>
          <w:tcPr>
            <w:tcW w:w="5220" w:type="dxa"/>
          </w:tcPr>
          <w:p w14:paraId="48ACE317" w14:textId="77777777" w:rsidR="004005AF" w:rsidRPr="00EF7CF9" w:rsidRDefault="004005AF" w:rsidP="00F01ED6">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F01ED6">
            <w:pPr>
              <w:pStyle w:val="ProductList-OfferingBody"/>
              <w:jc w:val="center"/>
            </w:pPr>
            <w:r>
              <w:t>&lt; 99%</w:t>
            </w:r>
          </w:p>
        </w:tc>
        <w:tc>
          <w:tcPr>
            <w:tcW w:w="5220" w:type="dxa"/>
          </w:tcPr>
          <w:p w14:paraId="30AB2314" w14:textId="77777777" w:rsidR="004005AF" w:rsidRPr="00EF7CF9" w:rsidRDefault="004005AF" w:rsidP="00F01ED6">
            <w:pPr>
              <w:pStyle w:val="ProductList-OfferingBody"/>
              <w:jc w:val="center"/>
            </w:pPr>
            <w:r>
              <w:t>25%</w:t>
            </w:r>
          </w:p>
        </w:tc>
      </w:tr>
    </w:tbl>
    <w:bookmarkStart w:id="187" w:name="_Toc457821546"/>
    <w:bookmarkStart w:id="188" w:name="_Toc52348948"/>
    <w:bookmarkStart w:id="189" w:name="_Toc513395510"/>
    <w:bookmarkStart w:id="190" w:name="_Toc52348927"/>
    <w:bookmarkStart w:id="191" w:name="_Hlk513540106"/>
    <w:p w14:paraId="5E3914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772543A" w14:textId="77777777" w:rsidR="00AA02E4" w:rsidRPr="00EF7CF9" w:rsidRDefault="00AA02E4" w:rsidP="00F01ED6">
      <w:pPr>
        <w:pStyle w:val="ProductList-Offering2Heading"/>
        <w:tabs>
          <w:tab w:val="clear" w:pos="360"/>
          <w:tab w:val="clear" w:pos="720"/>
          <w:tab w:val="clear" w:pos="1080"/>
        </w:tabs>
        <w:outlineLvl w:val="2"/>
      </w:pPr>
      <w:bookmarkStart w:id="192" w:name="_Toc182409644"/>
      <w:r>
        <w:t>Catálogo de Dados</w:t>
      </w:r>
      <w:bookmarkEnd w:id="187"/>
      <w:bookmarkEnd w:id="188"/>
      <w:bookmarkEnd w:id="192"/>
    </w:p>
    <w:p w14:paraId="581628D5"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65296591" w14:textId="651ADE44" w:rsidR="00AA02E4" w:rsidRPr="00EF7CF9" w:rsidRDefault="00380305" w:rsidP="00F01ED6">
      <w:pPr>
        <w:pStyle w:val="ProductList-Body"/>
      </w:pPr>
      <w:r>
        <w:t>“</w:t>
      </w:r>
      <w:r w:rsidR="00AA02E4">
        <w:rPr>
          <w:b/>
          <w:color w:val="00188F"/>
        </w:rPr>
        <w:t>Minutos de Implementação</w:t>
      </w:r>
      <w:r>
        <w:t>”</w:t>
      </w:r>
      <w:r w:rsidR="00AA02E4">
        <w:t xml:space="preserve"> designa o número total de minutos para os quais foi adquirido um Catálogo de Dados durante um Período Aplicável.</w:t>
      </w:r>
    </w:p>
    <w:p w14:paraId="002A64FD" w14:textId="21FEE523" w:rsidR="00AA02E4" w:rsidRPr="00EF7CF9" w:rsidRDefault="00380305" w:rsidP="00F01ED6">
      <w:pPr>
        <w:pStyle w:val="ProductList-Body"/>
      </w:pPr>
      <w:r>
        <w:t>“</w:t>
      </w:r>
      <w:r w:rsidR="00AA02E4">
        <w:rPr>
          <w:b/>
          <w:color w:val="00188F"/>
        </w:rPr>
        <w:t>Entradas</w:t>
      </w:r>
      <w:r>
        <w:t>”</w:t>
      </w:r>
      <w:r w:rsidR="00AA02E4">
        <w:t xml:space="preserve"> designa qualquer registo de objeto de catálogo no Catálogo de Dados (como uma tabela, vista, medição, cluster ou relatório).</w:t>
      </w:r>
    </w:p>
    <w:p w14:paraId="7570F44E" w14:textId="38193A1F" w:rsidR="00AA02E4" w:rsidRPr="00EF7CF9" w:rsidRDefault="00380305" w:rsidP="00F01ED6">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designa a soma de todos os Minutos de Implementação para o Catálogo de Dados associado a uma determinada subscrição do Microsoft Azure durante um Período Aplicável.</w:t>
      </w:r>
      <w:r w:rsidR="00AA02E4">
        <w:rPr>
          <w:rFonts w:cs="Segoe UI"/>
          <w:b/>
          <w:bCs/>
          <w:color w:val="000000" w:themeColor="text1"/>
        </w:rPr>
        <w:t xml:space="preserve"> </w:t>
      </w:r>
    </w:p>
    <w:p w14:paraId="09594F99" w14:textId="77777777" w:rsidR="00AA02E4" w:rsidRPr="00B44CF9" w:rsidRDefault="00AA02E4" w:rsidP="00F01ED6">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Período de Indisponibilidade</w:t>
      </w:r>
      <w:r w:rsidRPr="00473DD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424F5ACD" w14:textId="6CCCDCAB"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95B497B" w14:textId="77777777" w:rsidR="00AA02E4" w:rsidRPr="00EF7CF9" w:rsidRDefault="00AA02E4" w:rsidP="00F01ED6">
      <w:pPr>
        <w:pStyle w:val="ProductList-Body"/>
        <w:rPr>
          <w:szCs w:val="18"/>
        </w:rPr>
      </w:pPr>
    </w:p>
    <w:p w14:paraId="3E1ED9D0" w14:textId="22BC872E" w:rsidR="00AA02E4"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96CA38" w14:textId="77777777" w:rsidR="00AA02E4" w:rsidRPr="00EF7CF9" w:rsidRDefault="00AA02E4" w:rsidP="007D131F">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F3BA5C"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F01ED6">
            <w:pPr>
              <w:pStyle w:val="ProductList-OfferingBody"/>
              <w:jc w:val="center"/>
            </w:pPr>
            <w:r>
              <w:t>&lt; 99,9%</w:t>
            </w:r>
          </w:p>
        </w:tc>
        <w:tc>
          <w:tcPr>
            <w:tcW w:w="5400" w:type="dxa"/>
          </w:tcPr>
          <w:p w14:paraId="6267C076" w14:textId="77777777" w:rsidR="00AA02E4" w:rsidRPr="00EF7CF9" w:rsidRDefault="00AA02E4" w:rsidP="00F01ED6">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7D131F">
            <w:pPr>
              <w:pStyle w:val="ProductList-OfferingBody"/>
              <w:jc w:val="center"/>
            </w:pPr>
            <w:r>
              <w:t>&lt; 99%</w:t>
            </w:r>
          </w:p>
        </w:tc>
        <w:tc>
          <w:tcPr>
            <w:tcW w:w="5400" w:type="dxa"/>
          </w:tcPr>
          <w:p w14:paraId="34756236" w14:textId="77777777" w:rsidR="00AA02E4" w:rsidRPr="00EF7CF9" w:rsidRDefault="00AA02E4" w:rsidP="007D131F">
            <w:pPr>
              <w:pStyle w:val="ProductList-OfferingBody"/>
              <w:jc w:val="center"/>
            </w:pPr>
            <w:r>
              <w:t>25%</w:t>
            </w:r>
          </w:p>
        </w:tc>
      </w:tr>
    </w:tbl>
    <w:bookmarkStart w:id="193" w:name="_Toc457821547"/>
    <w:bookmarkStart w:id="194" w:name="_Toc52348949"/>
    <w:p w14:paraId="2D203BB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C3E10A" w14:textId="147202AA" w:rsidR="00F240D4" w:rsidRDefault="00F240D4" w:rsidP="00F01ED6">
      <w:pPr>
        <w:pStyle w:val="ProductList-Offering2Heading"/>
        <w:keepNext/>
        <w:tabs>
          <w:tab w:val="clear" w:pos="360"/>
          <w:tab w:val="clear" w:pos="720"/>
          <w:tab w:val="clear" w:pos="1080"/>
        </w:tabs>
        <w:outlineLvl w:val="2"/>
      </w:pPr>
      <w:bookmarkStart w:id="195" w:name="_Toc182409645"/>
      <w:r>
        <w:t>Azure Data Explorer (Kusto)</w:t>
      </w:r>
      <w:bookmarkEnd w:id="195"/>
    </w:p>
    <w:p w14:paraId="279D2037" w14:textId="77777777" w:rsidR="00F240D4" w:rsidRPr="009F4F1B" w:rsidRDefault="00F240D4" w:rsidP="00F01ED6">
      <w:pPr>
        <w:pStyle w:val="ProductList-Body"/>
        <w:keepNext/>
        <w:rPr>
          <w:b/>
          <w:bCs/>
          <w:color w:val="00188F"/>
        </w:rPr>
      </w:pPr>
      <w:r>
        <w:rPr>
          <w:b/>
          <w:bCs/>
          <w:color w:val="00188F"/>
        </w:rPr>
        <w:t>Definições Adicionais</w:t>
      </w:r>
    </w:p>
    <w:p w14:paraId="51E9A0D1" w14:textId="267B40BE" w:rsidR="00F240D4" w:rsidRDefault="00380305" w:rsidP="00F01ED6">
      <w:pPr>
        <w:pStyle w:val="ProductList-Body"/>
      </w:pPr>
      <w:r>
        <w:t>“</w:t>
      </w:r>
      <w:r w:rsidR="00F240D4">
        <w:rPr>
          <w:b/>
          <w:color w:val="00188F"/>
        </w:rPr>
        <w:t>Cluster</w:t>
      </w:r>
      <w:r>
        <w:t>”</w:t>
      </w:r>
      <w:r w:rsidR="00F240D4">
        <w:t xml:space="preserve"> designa o grupo operado pelo Azure Data Explorer (ADX).</w:t>
      </w:r>
    </w:p>
    <w:p w14:paraId="0ACB4CAB" w14:textId="77777777" w:rsidR="00F240D4" w:rsidRDefault="00F240D4" w:rsidP="00F01ED6">
      <w:pPr>
        <w:pStyle w:val="ProductList-Body"/>
      </w:pPr>
    </w:p>
    <w:p w14:paraId="3448EE53" w14:textId="05F823B5" w:rsidR="00F240D4" w:rsidRPr="009F4F1B" w:rsidRDefault="00EE6E3C" w:rsidP="00F01ED6">
      <w:pPr>
        <w:pStyle w:val="ProductList-Body"/>
        <w:rPr>
          <w:b/>
          <w:bCs/>
          <w:color w:val="00188F"/>
        </w:rPr>
      </w:pPr>
      <w:r>
        <w:rPr>
          <w:b/>
          <w:bCs/>
          <w:color w:val="00188F"/>
        </w:rPr>
        <w:t>Cálculo do Período de Disponibilidade e Níveis de Serviço para o Azure Data Explorer</w:t>
      </w:r>
    </w:p>
    <w:p w14:paraId="6CEBB473" w14:textId="073ADE37" w:rsidR="00F240D4" w:rsidRDefault="00380305" w:rsidP="00F01ED6">
      <w:pPr>
        <w:pStyle w:val="ProductList-Body"/>
      </w:pPr>
      <w:r>
        <w:t>“</w:t>
      </w:r>
      <w:r w:rsidR="00F240D4">
        <w:rPr>
          <w:b/>
          <w:color w:val="00188F"/>
        </w:rPr>
        <w:t>Máximo de Minutos Disponíveis</w:t>
      </w:r>
      <w:r>
        <w:t>”</w:t>
      </w:r>
      <w:r w:rsidR="00F240D4">
        <w:t xml:space="preserve"> designa o número total de minutos para um determinado Cluster implementado pelo Cliente numa determinada subscrição do Microsoft Azure durante um Período Aplicável.</w:t>
      </w:r>
    </w:p>
    <w:p w14:paraId="297698DD" w14:textId="554F0D03" w:rsidR="00F240D4" w:rsidRDefault="00380305" w:rsidP="00F01ED6">
      <w:pPr>
        <w:pStyle w:val="ProductList-Body"/>
      </w:pPr>
      <w:r>
        <w:t>“</w:t>
      </w:r>
      <w:r w:rsidR="00F240D4">
        <w:rPr>
          <w:b/>
          <w:color w:val="00188F"/>
        </w:rPr>
        <w:t>Período de Indisponibilidade</w:t>
      </w:r>
      <w:r>
        <w:t>”</w:t>
      </w:r>
      <w:r w:rsidR="00F240D4">
        <w:t xml:space="preserve"> designa o número total de minutos no Máximo de Minutos Disponíveis durante o qual um Cluster está indisponível. Um minuto é considerado indisponível para um determinado Cluster se todas as tentativas contínuas nesse minuto para estabelecer uma ligação com o Cluster devolverem um Código de Erro.</w:t>
      </w:r>
    </w:p>
    <w:p w14:paraId="45D31E24" w14:textId="77777777" w:rsidR="00F240D4" w:rsidRDefault="00F240D4" w:rsidP="00F01ED6">
      <w:pPr>
        <w:pStyle w:val="ProductList-Body"/>
      </w:pPr>
    </w:p>
    <w:p w14:paraId="4F382C56" w14:textId="56B0275E" w:rsidR="00F240D4" w:rsidRDefault="00F240D4" w:rsidP="00F01ED6">
      <w:pPr>
        <w:pStyle w:val="ProductList-Body"/>
      </w:pPr>
      <w:r>
        <w:t xml:space="preserve">A </w:t>
      </w:r>
      <w:r w:rsidR="00380305">
        <w:t>“</w:t>
      </w:r>
      <w:r>
        <w:rPr>
          <w:b/>
          <w:color w:val="00188F"/>
        </w:rPr>
        <w:t>Percentagem de Período de Disponibilidade</w:t>
      </w:r>
      <w:r w:rsidR="00380305">
        <w:t>”</w:t>
      </w:r>
      <w:r>
        <w:t xml:space="preserve"> para a Azure Data Explorer é calculada como o Máximo de Minutos Disponíveis menos o Período de Indisponibilidade a dividir pelo Máximo de Minutos Disponíveis.</w:t>
      </w:r>
    </w:p>
    <w:p w14:paraId="3909B03E" w14:textId="77777777" w:rsidR="00F240D4" w:rsidRDefault="00F240D4" w:rsidP="00F01ED6">
      <w:pPr>
        <w:pStyle w:val="ProductList-Body"/>
      </w:pPr>
    </w:p>
    <w:p w14:paraId="43BAFB90" w14:textId="1EC0DA1E" w:rsidR="00F240D4" w:rsidRDefault="00AC48A7" w:rsidP="00F01ED6">
      <w:pPr>
        <w:pStyle w:val="ProductList-Body"/>
      </w:pPr>
      <w:r>
        <w:t>A Percentagem de Período de Disponibilidade é representada pela seguinte fórmula:</w:t>
      </w:r>
    </w:p>
    <w:p w14:paraId="77519043" w14:textId="77777777" w:rsidR="00F240D4" w:rsidRDefault="00F240D4" w:rsidP="00F01ED6">
      <w:pPr>
        <w:pStyle w:val="ProductList-Body"/>
      </w:pPr>
    </w:p>
    <w:p w14:paraId="0F184916" w14:textId="5F3A28AC" w:rsidR="00F240D4" w:rsidRPr="006A1FA3" w:rsidRDefault="00000000" w:rsidP="00F01ED6">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31B89674" w14:textId="77777777" w:rsidR="00F240D4" w:rsidRDefault="00F240D4" w:rsidP="00F01ED6">
      <w:pPr>
        <w:pStyle w:val="ProductList-Body"/>
        <w:rPr>
          <w:rFonts w:eastAsiaTheme="minorEastAsia"/>
          <w:color w:val="000000" w:themeColor="text1"/>
          <w:szCs w:val="18"/>
        </w:rPr>
      </w:pPr>
    </w:p>
    <w:p w14:paraId="1170A23B" w14:textId="77777777" w:rsidR="00F240D4" w:rsidRPr="00EF7CF9" w:rsidRDefault="00F240D4" w:rsidP="00F01ED6">
      <w:pPr>
        <w:pStyle w:val="ProductList-Body"/>
      </w:pPr>
      <w:r>
        <w:rPr>
          <w:b/>
          <w:color w:val="00188F"/>
        </w:rPr>
        <w:t>Os seguintes Níveis de Serviço e Créditos de Serviço são aplicáveis à utilização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D4B6B">
        <w:trPr>
          <w:tblHeader/>
        </w:trPr>
        <w:tc>
          <w:tcPr>
            <w:tcW w:w="5400" w:type="dxa"/>
            <w:shd w:val="clear" w:color="auto" w:fill="0072C6"/>
          </w:tcPr>
          <w:p w14:paraId="290C6CDA" w14:textId="2CD84961" w:rsidR="00F240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B8C29B" w14:textId="77777777" w:rsidR="00F240D4" w:rsidRPr="00EF7CF9" w:rsidRDefault="00F240D4" w:rsidP="00F01ED6">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1D4B6B">
        <w:tc>
          <w:tcPr>
            <w:tcW w:w="5400" w:type="dxa"/>
            <w:tcBorders>
              <w:bottom w:val="single" w:sz="4" w:space="0" w:color="000000" w:themeColor="text1"/>
            </w:tcBorders>
          </w:tcPr>
          <w:p w14:paraId="47E571A5" w14:textId="77777777" w:rsidR="00F240D4" w:rsidRPr="00EF7CF9" w:rsidRDefault="00F240D4" w:rsidP="00F01ED6">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F01ED6">
            <w:pPr>
              <w:pStyle w:val="ProductList-OfferingBody"/>
              <w:jc w:val="center"/>
            </w:pPr>
            <w:r>
              <w:t>10%</w:t>
            </w:r>
          </w:p>
        </w:tc>
      </w:tr>
      <w:tr w:rsidR="00F240D4" w:rsidRPr="00B44CF9" w14:paraId="1672F988" w14:textId="77777777" w:rsidTr="001D4B6B">
        <w:tc>
          <w:tcPr>
            <w:tcW w:w="5400" w:type="dxa"/>
            <w:tcBorders>
              <w:bottom w:val="single" w:sz="4" w:space="0" w:color="auto"/>
            </w:tcBorders>
          </w:tcPr>
          <w:p w14:paraId="4FAAC35F" w14:textId="77777777" w:rsidR="00F240D4" w:rsidRPr="00EF7CF9" w:rsidRDefault="00F240D4" w:rsidP="00F01ED6">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F01ED6">
            <w:pPr>
              <w:pStyle w:val="ProductList-OfferingBody"/>
              <w:jc w:val="center"/>
            </w:pPr>
            <w:r>
              <w:t>25%</w:t>
            </w:r>
          </w:p>
        </w:tc>
      </w:tr>
    </w:tbl>
    <w:p w14:paraId="70539D6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21EC9" w14:textId="77777777" w:rsidR="00AA02E4" w:rsidRPr="00EF7CF9" w:rsidRDefault="00AA02E4" w:rsidP="00F01ED6">
      <w:pPr>
        <w:pStyle w:val="ProductList-Offering2Heading"/>
        <w:tabs>
          <w:tab w:val="clear" w:pos="360"/>
          <w:tab w:val="clear" w:pos="720"/>
          <w:tab w:val="clear" w:pos="1080"/>
        </w:tabs>
        <w:outlineLvl w:val="2"/>
      </w:pPr>
      <w:bookmarkStart w:id="196" w:name="_Toc182409646"/>
      <w:r>
        <w:t>Azure Data Factory</w:t>
      </w:r>
      <w:bookmarkEnd w:id="196"/>
      <w:r>
        <w:t xml:space="preserve"> </w:t>
      </w:r>
      <w:bookmarkEnd w:id="193"/>
      <w:bookmarkEnd w:id="194"/>
    </w:p>
    <w:p w14:paraId="0DE3C563"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76181B90" w14:textId="5FD1A5C4" w:rsidR="00AA02E4" w:rsidRDefault="00380305" w:rsidP="00F01ED6">
      <w:pPr>
        <w:pStyle w:val="ProductList-Body"/>
      </w:pPr>
      <w:r>
        <w:t>“</w:t>
      </w:r>
      <w:r w:rsidR="00AA02E4">
        <w:rPr>
          <w:b/>
          <w:color w:val="00188F"/>
        </w:rPr>
        <w:t>Recursos</w:t>
      </w:r>
      <w:r>
        <w:t>”</w:t>
      </w:r>
      <w:r w:rsidR="00AA02E4">
        <w:t xml:space="preserve"> designa os runtimes de integração (incluindo o Azure, o SSIS e Runtimes de Integração Autoalojados), acionadores, pipelines, conjuntos de dados e serviços associados criados num Data Factory.</w:t>
      </w:r>
    </w:p>
    <w:p w14:paraId="15E650C9" w14:textId="631D11A1" w:rsidR="00AA02E4" w:rsidRPr="00EF7CF9" w:rsidRDefault="00380305" w:rsidP="00F01ED6">
      <w:pPr>
        <w:pStyle w:val="ProductList-Body"/>
      </w:pPr>
      <w:r>
        <w:t>“</w:t>
      </w:r>
      <w:r w:rsidR="00AA02E4">
        <w:rPr>
          <w:b/>
          <w:color w:val="00188F"/>
        </w:rPr>
        <w:t>Execução de Atividade</w:t>
      </w:r>
      <w:r>
        <w:t>”</w:t>
      </w:r>
      <w:r w:rsidR="00AA02E4">
        <w:rPr>
          <w:b/>
          <w:color w:val="00188F"/>
        </w:rPr>
        <w:t xml:space="preserve"> </w:t>
      </w:r>
      <w:r w:rsidR="00AA02E4">
        <w:t>designa a execução ou a tentativa de execução de uma atividade</w:t>
      </w:r>
    </w:p>
    <w:p w14:paraId="3FB5F108" w14:textId="77777777" w:rsidR="00AA02E4" w:rsidRDefault="00AA02E4" w:rsidP="00F01ED6">
      <w:pPr>
        <w:pStyle w:val="ProductList-Body"/>
      </w:pPr>
    </w:p>
    <w:p w14:paraId="41EC9AB8" w14:textId="0083EBE7" w:rsidR="00AA02E4" w:rsidRPr="00ED4527" w:rsidRDefault="00EE6E3C" w:rsidP="00F01ED6">
      <w:pPr>
        <w:pStyle w:val="ProductList-Body"/>
        <w:rPr>
          <w:b/>
          <w:bCs/>
          <w:color w:val="00188F"/>
        </w:rPr>
      </w:pPr>
      <w:r>
        <w:rPr>
          <w:b/>
          <w:bCs/>
          <w:color w:val="00188F"/>
        </w:rPr>
        <w:t>Cálculo do Período de Disponibilidade para Chamadas da API para o Data Factory</w:t>
      </w:r>
    </w:p>
    <w:p w14:paraId="2CF86461" w14:textId="77777777" w:rsidR="00AA02E4" w:rsidRDefault="00AA02E4" w:rsidP="00F01ED6">
      <w:pPr>
        <w:pStyle w:val="ProductList-Body"/>
        <w:rPr>
          <w:b/>
          <w:color w:val="00188F"/>
        </w:rPr>
      </w:pPr>
      <w:r>
        <w:rPr>
          <w:b/>
          <w:color w:val="00188F"/>
        </w:rPr>
        <w:t>Definições Adicionais</w:t>
      </w:r>
      <w:r w:rsidRPr="00473DD3">
        <w:rPr>
          <w:b/>
          <w:color w:val="00188F"/>
        </w:rPr>
        <w:t>:</w:t>
      </w:r>
    </w:p>
    <w:p w14:paraId="502FA76B" w14:textId="66A52991" w:rsidR="00AA02E4" w:rsidRDefault="00380305" w:rsidP="00F01ED6">
      <w:pPr>
        <w:pStyle w:val="ProductList-Body"/>
      </w:pPr>
      <w:r>
        <w:t>“</w:t>
      </w:r>
      <w:r w:rsidR="00AA02E4">
        <w:rPr>
          <w:b/>
          <w:color w:val="00188F"/>
        </w:rPr>
        <w:t>Total de Pedidos</w:t>
      </w:r>
      <w:r>
        <w:t>”</w:t>
      </w:r>
      <w:r w:rsidR="00AA02E4">
        <w:t xml:space="preserve"> designa o conjunto de todos os pedidos, que não Pedidos Excluídos, para executar operações relativamente a Recursos durante um Período Aplicável para uma determinada subscrição do Microsoft Azure.</w:t>
      </w:r>
    </w:p>
    <w:p w14:paraId="4F3686F7" w14:textId="2C7FE704" w:rsidR="00AA02E4" w:rsidRDefault="00380305" w:rsidP="00F01ED6">
      <w:pPr>
        <w:pStyle w:val="ProductList-Body"/>
      </w:pPr>
      <w:r>
        <w:t>“</w:t>
      </w:r>
      <w:r w:rsidR="00AA02E4">
        <w:rPr>
          <w:b/>
          <w:color w:val="00188F"/>
        </w:rPr>
        <w:t>Pedidos Excluídos</w:t>
      </w:r>
      <w:r>
        <w:t>”</w:t>
      </w:r>
      <w:r w:rsidR="00AA02E4">
        <w:t xml:space="preserve"> designa o conjunto de pedidos que resultam num código de estado HTTP 4xx, que não um código de estado HTTP 408. </w:t>
      </w:r>
    </w:p>
    <w:p w14:paraId="79E49C6D" w14:textId="7E9122E0" w:rsidR="00AA02E4" w:rsidRDefault="00380305" w:rsidP="00F01ED6">
      <w:pPr>
        <w:pStyle w:val="ProductList-Body"/>
      </w:pPr>
      <w:r>
        <w:t>“</w:t>
      </w:r>
      <w:r w:rsidR="00AA02E4">
        <w:rPr>
          <w:b/>
          <w:color w:val="00188F"/>
        </w:rPr>
        <w:t>Pedidos com Falha</w:t>
      </w:r>
      <w:r>
        <w:t>”</w:t>
      </w:r>
      <w:r w:rsidR="00AA02E4">
        <w:t xml:space="preserve"> designa o conjunto de todos os pedidos no Total de Pedidos que devolvem um Código de Erro ou um código de estado HTTP 408 ou que não devolvem um Código de Êxito num prazo de dois minutos. </w:t>
      </w:r>
    </w:p>
    <w:p w14:paraId="5251F49D" w14:textId="77777777" w:rsidR="00AA02E4" w:rsidRPr="00EF7CF9" w:rsidRDefault="00AA02E4" w:rsidP="00F01ED6">
      <w:pPr>
        <w:pStyle w:val="ProductList-Body"/>
      </w:pPr>
    </w:p>
    <w:p w14:paraId="2D21FDFB" w14:textId="23F0FFD3" w:rsidR="00AA02E4" w:rsidRDefault="00AA02E4" w:rsidP="00F01ED6">
      <w:pPr>
        <w:pStyle w:val="ProductList-Body"/>
      </w:pPr>
      <w:r>
        <w:t xml:space="preserve">A </w:t>
      </w:r>
      <w:r w:rsidR="00380305" w:rsidRPr="00380305">
        <w:t>“</w:t>
      </w:r>
      <w:r>
        <w:rPr>
          <w:b/>
          <w:color w:val="00188F"/>
        </w:rPr>
        <w:t>Percentagem de Período de Disponibilidade</w:t>
      </w:r>
      <w:r w:rsidR="00380305">
        <w:t>”</w:t>
      </w:r>
      <w:r>
        <w:t xml:space="preserve"> para as chamadas da API efetuadas para os Serviços Data Factory é calculada como o Total de Pedidos menos os Pedidos com Falha a dividir pelo Total de Pedidos num Período Aplicável para uma determinada subscrição do Microsoft Azure. </w:t>
      </w:r>
    </w:p>
    <w:p w14:paraId="0C1962F3" w14:textId="5EA7870E" w:rsidR="00AA02E4" w:rsidRPr="00EF7CF9" w:rsidRDefault="00AC48A7" w:rsidP="00F01ED6">
      <w:pPr>
        <w:pStyle w:val="ProductList-Body"/>
      </w:pPr>
      <w:r>
        <w:t>A Percentagem de Período de Disponibilidade é representada pela seguinte fórmula:</w:t>
      </w:r>
    </w:p>
    <w:p w14:paraId="44F5B2CF" w14:textId="77777777" w:rsidR="00AA02E4" w:rsidRPr="00EF7CF9" w:rsidRDefault="00AA02E4" w:rsidP="00F01ED6">
      <w:pPr>
        <w:pStyle w:val="ProductList-Body"/>
      </w:pPr>
    </w:p>
    <w:p w14:paraId="20D98153" w14:textId="54A37A13" w:rsidR="00AA02E4" w:rsidRPr="00EF7CF9" w:rsidRDefault="00E80B8A"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oMath>
      </m:oMathPara>
    </w:p>
    <w:p w14:paraId="534303A0" w14:textId="77777777" w:rsidR="00AA02E4" w:rsidRPr="007C69E0" w:rsidRDefault="00AA02E4" w:rsidP="009759E2">
      <w:pPr>
        <w:pStyle w:val="ProductList-Body"/>
        <w:keepNext/>
        <w:keepLines/>
        <w:rPr>
          <w:b/>
          <w:bCs/>
          <w:color w:val="00008F"/>
        </w:rPr>
      </w:pPr>
      <w:r w:rsidRPr="007C69E0">
        <w:rPr>
          <w:b/>
          <w:bCs/>
          <w:color w:val="00008F"/>
        </w:rPr>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9759E2">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50673EA" w14:textId="77777777" w:rsidR="00AA02E4" w:rsidRPr="00EF7CF9" w:rsidRDefault="00AA02E4" w:rsidP="009759E2">
            <w:pPr>
              <w:pStyle w:val="ProductList-OfferingBody"/>
              <w:keepNext/>
              <w:keepLines/>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9759E2">
            <w:pPr>
              <w:pStyle w:val="ProductList-OfferingBody"/>
              <w:keepNext/>
              <w:keepLines/>
              <w:jc w:val="center"/>
            </w:pPr>
            <w:r>
              <w:t>&lt; 99,9%</w:t>
            </w:r>
          </w:p>
        </w:tc>
        <w:tc>
          <w:tcPr>
            <w:tcW w:w="5400" w:type="dxa"/>
          </w:tcPr>
          <w:p w14:paraId="45423A50" w14:textId="77777777" w:rsidR="00AA02E4" w:rsidRPr="00EF7CF9" w:rsidRDefault="00AA02E4" w:rsidP="009759E2">
            <w:pPr>
              <w:pStyle w:val="ProductList-OfferingBody"/>
              <w:keepNext/>
              <w:keepLines/>
              <w:jc w:val="center"/>
            </w:pPr>
            <w:r>
              <w:t>10%</w:t>
            </w:r>
          </w:p>
        </w:tc>
      </w:tr>
      <w:tr w:rsidR="00AA02E4" w:rsidRPr="00B44CF9" w14:paraId="11382E4F" w14:textId="77777777" w:rsidTr="00277097">
        <w:tc>
          <w:tcPr>
            <w:tcW w:w="5400" w:type="dxa"/>
          </w:tcPr>
          <w:p w14:paraId="2F93EE8A" w14:textId="77777777" w:rsidR="00AA02E4" w:rsidRPr="00EF7CF9" w:rsidRDefault="00AA02E4" w:rsidP="009759E2">
            <w:pPr>
              <w:pStyle w:val="ProductList-OfferingBody"/>
              <w:keepNext/>
              <w:keepLines/>
              <w:jc w:val="center"/>
            </w:pPr>
            <w:r>
              <w:t>&lt; 99%</w:t>
            </w:r>
          </w:p>
        </w:tc>
        <w:tc>
          <w:tcPr>
            <w:tcW w:w="5400" w:type="dxa"/>
          </w:tcPr>
          <w:p w14:paraId="5932E997" w14:textId="77777777" w:rsidR="00AA02E4" w:rsidRPr="00EF7CF9" w:rsidRDefault="00AA02E4" w:rsidP="009759E2">
            <w:pPr>
              <w:pStyle w:val="ProductList-OfferingBody"/>
              <w:keepNext/>
              <w:keepLines/>
              <w:jc w:val="center"/>
            </w:pPr>
            <w:r>
              <w:t>25%</w:t>
            </w:r>
          </w:p>
        </w:tc>
      </w:tr>
    </w:tbl>
    <w:p w14:paraId="7FE0019D" w14:textId="65672919" w:rsidR="00AA02E4" w:rsidRPr="00ED4527" w:rsidRDefault="00EE6E3C" w:rsidP="00F01ED6">
      <w:pPr>
        <w:pStyle w:val="ProductList-Body"/>
        <w:keepNext/>
        <w:spacing w:before="240"/>
        <w:rPr>
          <w:b/>
          <w:bCs/>
          <w:color w:val="00188F"/>
        </w:rPr>
      </w:pPr>
      <w:r>
        <w:rPr>
          <w:b/>
          <w:bCs/>
          <w:color w:val="00188F"/>
        </w:rPr>
        <w:t>Cálculo do Período de Disponibilidade para Execuções de Atividade do Data Factory</w:t>
      </w:r>
    </w:p>
    <w:p w14:paraId="4FAAD9F9" w14:textId="77777777" w:rsidR="00AA02E4" w:rsidRPr="00AA02E4" w:rsidRDefault="00AA02E4" w:rsidP="00F01ED6">
      <w:pPr>
        <w:pStyle w:val="ProductList-Body"/>
        <w:keepNext/>
        <w:rPr>
          <w:b/>
          <w:bCs/>
          <w:color w:val="00188F"/>
        </w:rPr>
      </w:pPr>
      <w:r>
        <w:rPr>
          <w:b/>
          <w:bCs/>
          <w:color w:val="00188F"/>
        </w:rPr>
        <w:t>Definições Adicionais:</w:t>
      </w:r>
    </w:p>
    <w:p w14:paraId="6878FBB3" w14:textId="3688E058" w:rsidR="00AA02E4" w:rsidRPr="00EF7CF9" w:rsidRDefault="00380305" w:rsidP="00F01ED6">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designa o número total de tentativas de Execuções de Atividade durante um Período Aplicável para uma determinada Subscrição do Microsoft Azure. </w:t>
      </w:r>
    </w:p>
    <w:p w14:paraId="045CDE7E" w14:textId="4DEEE46F" w:rsidR="00AA02E4" w:rsidRPr="00EF7CF9" w:rsidRDefault="00380305" w:rsidP="00F01ED6">
      <w:pPr>
        <w:pStyle w:val="ProductList-Body"/>
      </w:pPr>
      <w:r>
        <w:t>“</w:t>
      </w:r>
      <w:r w:rsidR="00AA02E4">
        <w:rPr>
          <w:b/>
          <w:color w:val="00188F"/>
        </w:rPr>
        <w:t>Execuções de Atividade em Atraso</w:t>
      </w:r>
      <w:r>
        <w:t>”</w:t>
      </w:r>
      <w:r w:rsidR="00AA02E4">
        <w:t xml:space="preserve"> designa o número total de tentativas de Execuções de Atividade em que a execução de uma atividade não é</w:t>
      </w:r>
      <w:r w:rsidR="00A46E68">
        <w:t> </w:t>
      </w:r>
      <w:r w:rsidR="00AA02E4">
        <w:t>iniciada no prazo de quatro (4) minutos após a hora de execução agendada, tendo sido cumpridas todas as dependências que constituem pré-requisitos para a execução.</w:t>
      </w:r>
    </w:p>
    <w:p w14:paraId="79D040CA" w14:textId="77777777" w:rsidR="00AA02E4" w:rsidRPr="00EF7CF9" w:rsidRDefault="00AA02E4" w:rsidP="00F01ED6">
      <w:pPr>
        <w:pStyle w:val="ProductList-Body"/>
      </w:pPr>
    </w:p>
    <w:p w14:paraId="45528E5A" w14:textId="0EFCEA8A" w:rsidR="00AA02E4" w:rsidRPr="00ED4527" w:rsidRDefault="00AA02E4" w:rsidP="00F01ED6">
      <w:pPr>
        <w:pStyle w:val="ProductList-Body"/>
        <w:rPr>
          <w:color w:val="000000" w:themeColor="text1"/>
        </w:rPr>
      </w:pPr>
      <w:r>
        <w:t xml:space="preserve">A </w:t>
      </w:r>
      <w:r w:rsidR="00380305" w:rsidRPr="00380305">
        <w:t>“</w:t>
      </w:r>
      <w:r>
        <w:rPr>
          <w:b/>
          <w:color w:val="00188F"/>
        </w:rPr>
        <w:t>Percentagem de Período de Disponibilidade</w:t>
      </w:r>
      <w:r w:rsidR="00380305">
        <w:t>”</w:t>
      </w:r>
      <w:r>
        <w:t xml:space="preserve"> </w:t>
      </w:r>
      <w:r>
        <w:rPr>
          <w:color w:val="000000" w:themeColor="text1"/>
        </w:rPr>
        <w:t>para o Serviço Data Factory é calculada como o Total de Execuções de Atividade menos as Execuções de Atividade em Atraso a dividir pelo Total de Execuções de Atividade num Período Aplicável para uma determinada subscrição do Microsoft Azure.</w:t>
      </w:r>
    </w:p>
    <w:p w14:paraId="0B2BEE09" w14:textId="0B818B97" w:rsidR="00AA02E4" w:rsidRPr="00EF7CF9" w:rsidRDefault="00AA02E4" w:rsidP="00F01ED6">
      <w:pPr>
        <w:pStyle w:val="ProductList-Body"/>
      </w:pPr>
      <w:r>
        <w:t>A Percentagem de Período de Disponibilidade é calculada através da seguinte fórmula:</w:t>
      </w:r>
    </w:p>
    <w:p w14:paraId="2F5792DB" w14:textId="77777777" w:rsidR="00AA02E4" w:rsidRPr="00EF7CF9" w:rsidRDefault="00AA02E4" w:rsidP="00F01ED6">
      <w:pPr>
        <w:pStyle w:val="ProductList-Body"/>
      </w:pPr>
    </w:p>
    <w:p w14:paraId="4DA9AF41" w14:textId="144F6187" w:rsidR="00AA02E4"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Atividade-Execuções de Atividade em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F01ED6">
      <w:pPr>
        <w:pStyle w:val="ProductList-Body"/>
      </w:pPr>
      <w:r>
        <w:rPr>
          <w:b/>
          <w:color w:val="00188F"/>
        </w:rPr>
        <w:t>Os seguintes Níveis de Serviço e Créditos de Serviço são aplicáveis às Execuções de Atividade do Cliente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CD5C5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F01ED6">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F01ED6">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F01ED6">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F01ED6">
            <w:pPr>
              <w:pStyle w:val="ProductList-OfferingBody"/>
              <w:jc w:val="center"/>
            </w:pPr>
            <w:r>
              <w:t>25%</w:t>
            </w:r>
          </w:p>
        </w:tc>
      </w:tr>
    </w:tbl>
    <w:bookmarkStart w:id="197" w:name="_Toc52348951"/>
    <w:bookmarkStart w:id="198" w:name="_Toc457821549"/>
    <w:p w14:paraId="1C90DD7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3F84F8" w14:textId="2A9E744D" w:rsidR="00AA02E4" w:rsidRPr="00EF7CF9" w:rsidRDefault="00AA02E4" w:rsidP="00F01ED6">
      <w:pPr>
        <w:pStyle w:val="ProductList-Offering2Heading"/>
        <w:keepNext/>
        <w:tabs>
          <w:tab w:val="clear" w:pos="360"/>
          <w:tab w:val="clear" w:pos="720"/>
          <w:tab w:val="clear" w:pos="1080"/>
        </w:tabs>
        <w:outlineLvl w:val="2"/>
      </w:pPr>
      <w:bookmarkStart w:id="199" w:name="_Toc182409647"/>
      <w:r>
        <w:t>Data Lake Analytics</w:t>
      </w:r>
      <w:bookmarkEnd w:id="197"/>
      <w:bookmarkEnd w:id="199"/>
    </w:p>
    <w:p w14:paraId="50DCF9CE" w14:textId="77777777" w:rsidR="00AA02E4" w:rsidRPr="00EF7CF9" w:rsidRDefault="00AA02E4" w:rsidP="00F01ED6">
      <w:pPr>
        <w:pStyle w:val="ProductList-Body"/>
        <w:keepNext/>
        <w:rPr>
          <w:b/>
          <w:color w:val="00188F"/>
        </w:rPr>
      </w:pPr>
      <w:r>
        <w:rPr>
          <w:b/>
          <w:color w:val="00188F"/>
        </w:rPr>
        <w:t>Definições Adicionais</w:t>
      </w:r>
      <w:r w:rsidRPr="00473DD3">
        <w:rPr>
          <w:b/>
          <w:color w:val="00188F"/>
        </w:rPr>
        <w:t>:</w:t>
      </w:r>
    </w:p>
    <w:p w14:paraId="48683A43" w14:textId="37F6C0C4" w:rsidR="00AA02E4" w:rsidRPr="00EF7CF9" w:rsidRDefault="00380305" w:rsidP="00F01ED6">
      <w:pPr>
        <w:pStyle w:val="ProductList-Body"/>
      </w:pPr>
      <w:r>
        <w:t>“</w:t>
      </w:r>
      <w:r w:rsidR="00AA02E4">
        <w:rPr>
          <w:b/>
          <w:color w:val="00188F"/>
        </w:rPr>
        <w:t>Total de Operações</w:t>
      </w:r>
      <w:r>
        <w:t>”</w:t>
      </w:r>
      <w:r w:rsidR="00AA02E4">
        <w:t xml:space="preserve"> designa o número total de operações autenticadas tentadas num intervalo de uma hora em todas as contas do Data Lake Analytics numa determinada subscrição do Azure durante um Período Aplicável. </w:t>
      </w:r>
    </w:p>
    <w:p w14:paraId="619001CB" w14:textId="591440FF" w:rsidR="00AA02E4" w:rsidRPr="00B32E8E" w:rsidRDefault="00380305" w:rsidP="00F01ED6">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designa o conjunto de todas as operações no Total de Operações que devolvem um Código de Erro ou uma falha em devolver um Código de Êxito num prazo de 5 minutos, para criação e eliminação da conta, e 25 segundos para todas as outras operações com 2 segundos adicionais por MB para as operações com payload</w:t>
      </w:r>
      <w:r w:rsidR="00AA02E4">
        <w:rPr>
          <w:rFonts w:ascii="Calibri" w:eastAsia="Calibri" w:hAnsi="Calibri" w:cs="Calibri"/>
          <w:sz w:val="18"/>
          <w:szCs w:val="18"/>
        </w:rPr>
        <w:t>.</w:t>
      </w:r>
    </w:p>
    <w:p w14:paraId="6CA1A056" w14:textId="285E3E40" w:rsidR="00AA02E4" w:rsidRPr="00EF7CF9" w:rsidRDefault="00380305" w:rsidP="00F01ED6">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designa o número total de Operações com Falha a dividir pelo Total de Operações durante um determinado intervalo de hora. Se</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num intervalo de uma hora for zero, a Taxa de Erros para esse intervalo é 0%.</w:t>
      </w:r>
    </w:p>
    <w:p w14:paraId="456F89ED" w14:textId="793C232D"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F9B2817" w14:textId="6D867D5F"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E5DCAAE" w14:textId="77777777" w:rsidR="00AA02E4" w:rsidRPr="00EF7CF9" w:rsidRDefault="00AA02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888A05"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F01ED6">
            <w:pPr>
              <w:pStyle w:val="ProductList-OfferingBody"/>
              <w:jc w:val="center"/>
            </w:pPr>
            <w:r>
              <w:t>&lt; 99,9%</w:t>
            </w:r>
          </w:p>
        </w:tc>
        <w:tc>
          <w:tcPr>
            <w:tcW w:w="5400" w:type="dxa"/>
          </w:tcPr>
          <w:p w14:paraId="034EEE2E" w14:textId="77777777" w:rsidR="00AA02E4" w:rsidRPr="00EF7CF9" w:rsidRDefault="00AA02E4" w:rsidP="00F01ED6">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F01ED6">
            <w:pPr>
              <w:pStyle w:val="ProductList-OfferingBody"/>
              <w:jc w:val="center"/>
            </w:pPr>
            <w:r>
              <w:t>&lt; 99%</w:t>
            </w:r>
          </w:p>
        </w:tc>
        <w:tc>
          <w:tcPr>
            <w:tcW w:w="5400" w:type="dxa"/>
          </w:tcPr>
          <w:p w14:paraId="0F637E8B" w14:textId="77777777" w:rsidR="00AA02E4" w:rsidRPr="00EF7CF9" w:rsidRDefault="00AA02E4" w:rsidP="00F01ED6">
            <w:pPr>
              <w:pStyle w:val="ProductList-OfferingBody"/>
              <w:jc w:val="center"/>
            </w:pPr>
            <w:r>
              <w:t>25%</w:t>
            </w:r>
          </w:p>
        </w:tc>
      </w:tr>
    </w:tbl>
    <w:bookmarkStart w:id="200" w:name="_Toc52348952"/>
    <w:p w14:paraId="1CCDDCC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C2039DF" w14:textId="77777777" w:rsidR="00AA02E4" w:rsidRPr="00EF7CF9" w:rsidRDefault="00AA02E4" w:rsidP="00F01ED6">
      <w:pPr>
        <w:pStyle w:val="ProductList-Offering2Heading"/>
        <w:tabs>
          <w:tab w:val="clear" w:pos="360"/>
          <w:tab w:val="clear" w:pos="720"/>
          <w:tab w:val="clear" w:pos="1080"/>
        </w:tabs>
        <w:outlineLvl w:val="2"/>
      </w:pPr>
      <w:bookmarkStart w:id="201" w:name="_Toc182409648"/>
      <w:r>
        <w:t>Data Lake Storage Gen1</w:t>
      </w:r>
      <w:bookmarkEnd w:id="200"/>
      <w:bookmarkEnd w:id="201"/>
    </w:p>
    <w:p w14:paraId="7B5916C5" w14:textId="77777777" w:rsidR="00AA02E4" w:rsidRPr="00E80B8A" w:rsidRDefault="00AA02E4" w:rsidP="00F01ED6">
      <w:pPr>
        <w:pStyle w:val="ProductList-Body"/>
        <w:rPr>
          <w:rFonts w:cstheme="minorHAnsi"/>
          <w:b/>
          <w:color w:val="00188F"/>
          <w:szCs w:val="18"/>
        </w:rPr>
      </w:pPr>
      <w:r w:rsidRPr="00E80B8A">
        <w:rPr>
          <w:rFonts w:cstheme="minorHAnsi"/>
          <w:b/>
          <w:color w:val="00188F"/>
          <w:szCs w:val="18"/>
        </w:rPr>
        <w:t>Definições Adicionais</w:t>
      </w:r>
      <w:r w:rsidRPr="00473DD3">
        <w:rPr>
          <w:rFonts w:cstheme="minorHAnsi"/>
          <w:b/>
          <w:color w:val="00188F"/>
          <w:szCs w:val="18"/>
        </w:rPr>
        <w:t>:</w:t>
      </w:r>
    </w:p>
    <w:p w14:paraId="23CB8006" w14:textId="04CEAC46" w:rsidR="00AA02E4" w:rsidRPr="00E80B8A" w:rsidRDefault="00380305" w:rsidP="00F01ED6">
      <w:pPr>
        <w:pStyle w:val="ProductList-Body"/>
        <w:rPr>
          <w:rFonts w:cstheme="minorHAnsi"/>
          <w:szCs w:val="18"/>
        </w:rPr>
      </w:pPr>
      <w:r>
        <w:rPr>
          <w:rFonts w:cstheme="minorHAnsi"/>
          <w:szCs w:val="18"/>
        </w:rPr>
        <w:t>“</w:t>
      </w:r>
      <w:r w:rsidR="00AA02E4" w:rsidRPr="00E80B8A">
        <w:rPr>
          <w:rFonts w:cstheme="minorHAnsi"/>
          <w:b/>
          <w:color w:val="00188F"/>
          <w:szCs w:val="18"/>
        </w:rPr>
        <w:t>Total de Operações</w:t>
      </w:r>
      <w:r>
        <w:rPr>
          <w:rFonts w:cstheme="minorHAnsi"/>
          <w:szCs w:val="18"/>
        </w:rPr>
        <w:t>”</w:t>
      </w:r>
      <w:r w:rsidR="00AA02E4" w:rsidRPr="00E80B8A">
        <w:rPr>
          <w:rFonts w:cstheme="minorHAnsi"/>
          <w:szCs w:val="18"/>
        </w:rPr>
        <w:t xml:space="preserve"> designa o número total de operações autenticadas tentadas num intervalo de uma hora em todas as contas do Data Lake Store numa determinada subscrição do Azure durante um Período Aplicável.</w:t>
      </w:r>
    </w:p>
    <w:p w14:paraId="50FB34C7" w14:textId="25CD4B55" w:rsidR="00AA02E4" w:rsidRPr="00E80B8A" w:rsidRDefault="00380305" w:rsidP="00F01ED6">
      <w:pPr>
        <w:spacing w:after="0" w:line="240" w:lineRule="auto"/>
        <w:rPr>
          <w:rFonts w:eastAsia="Calibri" w:cstheme="minorHAnsi"/>
          <w:sz w:val="18"/>
          <w:szCs w:val="18"/>
        </w:rPr>
      </w:pPr>
      <w:r>
        <w:rPr>
          <w:rFonts w:cstheme="minorHAnsi"/>
          <w:sz w:val="18"/>
          <w:szCs w:val="18"/>
        </w:rPr>
        <w:t>“</w:t>
      </w:r>
      <w:r w:rsidR="00AA02E4" w:rsidRPr="00E80B8A">
        <w:rPr>
          <w:rFonts w:cstheme="minorHAnsi"/>
          <w:b/>
          <w:color w:val="00188F"/>
          <w:sz w:val="18"/>
          <w:szCs w:val="18"/>
        </w:rPr>
        <w:t>Opções com Falha</w:t>
      </w:r>
      <w:r>
        <w:rPr>
          <w:rFonts w:cstheme="minorHAnsi"/>
          <w:sz w:val="18"/>
          <w:szCs w:val="18"/>
        </w:rPr>
        <w:t>”</w:t>
      </w:r>
      <w:r w:rsidR="00AA02E4" w:rsidRPr="00E80B8A">
        <w:rPr>
          <w:rFonts w:cstheme="minorHAnsi"/>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w:t>
      </w:r>
      <w:r w:rsidR="00C55C00">
        <w:rPr>
          <w:rFonts w:cstheme="minorHAnsi"/>
          <w:sz w:val="18"/>
          <w:szCs w:val="18"/>
        </w:rPr>
        <w:t> </w:t>
      </w:r>
      <w:r w:rsidR="00AA02E4" w:rsidRPr="00E80B8A">
        <w:rPr>
          <w:rFonts w:cstheme="minorHAnsi"/>
          <w:sz w:val="18"/>
          <w:szCs w:val="18"/>
        </w:rPr>
        <w:t>segundos por MB para as operações de transferência de dados e 2 segundos para todas as outras operações.</w:t>
      </w:r>
    </w:p>
    <w:p w14:paraId="5024A4E3" w14:textId="7FE713D1" w:rsidR="00AA02E4" w:rsidRPr="00E80B8A" w:rsidRDefault="00380305" w:rsidP="00F01ED6">
      <w:pPr>
        <w:pStyle w:val="NormalWeb"/>
        <w:shd w:val="clear" w:color="auto" w:fill="FFFFFF"/>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sidR="00AA02E4" w:rsidRPr="00E80B8A">
        <w:rPr>
          <w:rFonts w:asciiTheme="minorHAnsi" w:eastAsiaTheme="minorHAnsi" w:hAnsiTheme="minorHAnsi" w:cstheme="minorHAnsi"/>
          <w:b/>
          <w:color w:val="00188F"/>
          <w:sz w:val="18"/>
          <w:szCs w:val="18"/>
        </w:rPr>
        <w:t>Taxa de Erros</w:t>
      </w:r>
      <w:r>
        <w:rPr>
          <w:rFonts w:asciiTheme="minorHAnsi" w:eastAsiaTheme="minorHAnsi" w:hAnsiTheme="minorHAnsi" w:cstheme="minorHAnsi"/>
          <w:sz w:val="18"/>
          <w:szCs w:val="18"/>
        </w:rPr>
        <w:t>”</w:t>
      </w:r>
      <w:r w:rsidR="00AA02E4" w:rsidRPr="00E80B8A">
        <w:rPr>
          <w:rFonts w:asciiTheme="minorHAnsi" w:hAnsiTheme="minorHAnsi" w:cstheme="minorHAnsi"/>
          <w:sz w:val="18"/>
          <w:szCs w:val="18"/>
        </w:rPr>
        <w:t xml:space="preserve"> </w:t>
      </w:r>
      <w:r w:rsidR="00AA02E4" w:rsidRPr="00E80B8A">
        <w:rPr>
          <w:rFonts w:asciiTheme="minorHAnsi" w:eastAsiaTheme="minorHAnsi" w:hAnsiTheme="minorHAnsi" w:cstheme="minorHAnsi"/>
          <w:sz w:val="18"/>
          <w:szCs w:val="18"/>
        </w:rPr>
        <w:t>designa o número total de Operações com Falha a dividir pelo Total de Operações durante um determinado intervalo de hora. Se</w:t>
      </w:r>
      <w:r w:rsidR="005411BD">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o</w:t>
      </w:r>
      <w:r w:rsidR="00C55C00">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Total de Operações num intervalo de uma hora for zero, a Taxa de Erros para esse intervalo é 0%.</w:t>
      </w:r>
    </w:p>
    <w:p w14:paraId="28D67634" w14:textId="21AFE98F" w:rsidR="00AA02E4" w:rsidRPr="00E80B8A" w:rsidRDefault="00AA02E4" w:rsidP="00F01ED6">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E80B8A">
        <w:rPr>
          <w:rFonts w:asciiTheme="minorHAnsi" w:hAnsiTheme="minorHAnsi" w:cstheme="minorHAnsi"/>
          <w:sz w:val="18"/>
          <w:szCs w:val="18"/>
        </w:rPr>
        <w:t xml:space="preserve">A </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b/>
          <w:bCs/>
          <w:color w:val="00188F"/>
          <w:sz w:val="18"/>
          <w:szCs w:val="18"/>
        </w:rPr>
        <w:t>Taxa Média de Erros</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color w:val="000000" w:themeColor="text1"/>
          <w:sz w:val="18"/>
          <w:szCs w:val="18"/>
        </w:rPr>
        <w:t xml:space="preserve"> para um Período Aplicável designa a soma das Taxas de Erros para cada hora no Período Aplicável a dividir pelo número total de horas no Período Aplicável.</w:t>
      </w:r>
    </w:p>
    <w:p w14:paraId="6D17646E" w14:textId="27E023EA" w:rsidR="00AA02E4" w:rsidRPr="00E80B8A" w:rsidRDefault="00AA02E4" w:rsidP="00F01ED6">
      <w:pPr>
        <w:pStyle w:val="ProductList-Body"/>
        <w:rPr>
          <w:rFonts w:cstheme="minorHAnsi"/>
          <w:szCs w:val="18"/>
        </w:rPr>
      </w:pPr>
      <w:r w:rsidRPr="00E80B8A">
        <w:rPr>
          <w:rFonts w:cstheme="minorHAnsi"/>
          <w:szCs w:val="18"/>
        </w:rPr>
        <w:t xml:space="preserve">A </w:t>
      </w:r>
      <w:r w:rsidR="00380305" w:rsidRPr="00380305">
        <w:t>“</w:t>
      </w:r>
      <w:r w:rsidRPr="00E80B8A">
        <w:rPr>
          <w:rFonts w:cstheme="minorHAnsi"/>
          <w:b/>
          <w:color w:val="00188F"/>
          <w:szCs w:val="18"/>
        </w:rPr>
        <w:t>Percentagem de Período de Disponibilidade</w:t>
      </w:r>
      <w:r w:rsidR="00380305" w:rsidRPr="00380305">
        <w:t>”</w:t>
      </w:r>
      <w:r w:rsidRPr="00E80B8A">
        <w:rPr>
          <w:rFonts w:cstheme="minorHAnsi"/>
          <w:szCs w:val="18"/>
        </w:rPr>
        <w:t xml:space="preserve"> é calculada ao subtrair de 100% da Taxa Média de Erros para uma determinada subscrição do Microsoft Azure num Período Aplicável. </w:t>
      </w:r>
    </w:p>
    <w:p w14:paraId="3574B1AB" w14:textId="44DF7591" w:rsidR="00AA02E4" w:rsidRPr="00E80B8A" w:rsidRDefault="00AA02E4" w:rsidP="00C55C00">
      <w:pPr>
        <w:pStyle w:val="ProductList-Body"/>
        <w:keepNext/>
        <w:keepLines/>
        <w:rPr>
          <w:rFonts w:cstheme="minorHAnsi"/>
          <w:szCs w:val="18"/>
        </w:rPr>
      </w:pPr>
      <w:r w:rsidRPr="00E80B8A">
        <w:rPr>
          <w:rFonts w:cstheme="minorHAnsi"/>
          <w:szCs w:val="18"/>
        </w:rPr>
        <w:t>A Percentagem de Período de Disponibilidade é calculada através da seguinte fórmula:</w:t>
      </w:r>
    </w:p>
    <w:p w14:paraId="5B9EA659" w14:textId="05FF46E5"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706099E4" w14:textId="77777777" w:rsidR="00AA02E4" w:rsidRPr="00EF7CF9" w:rsidRDefault="00AA02E4"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F5724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F01ED6">
            <w:pPr>
              <w:pStyle w:val="ProductList-OfferingBody"/>
              <w:jc w:val="center"/>
            </w:pPr>
            <w:r>
              <w:t>&lt; 99,9%</w:t>
            </w:r>
          </w:p>
        </w:tc>
        <w:tc>
          <w:tcPr>
            <w:tcW w:w="5400" w:type="dxa"/>
          </w:tcPr>
          <w:p w14:paraId="550DC71F" w14:textId="77777777" w:rsidR="00AA02E4" w:rsidRPr="00EF7CF9" w:rsidRDefault="00AA02E4" w:rsidP="00F01ED6">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F01ED6">
            <w:pPr>
              <w:pStyle w:val="ProductList-OfferingBody"/>
              <w:jc w:val="center"/>
            </w:pPr>
            <w:r>
              <w:t>&lt; 99%</w:t>
            </w:r>
          </w:p>
        </w:tc>
        <w:tc>
          <w:tcPr>
            <w:tcW w:w="5400" w:type="dxa"/>
          </w:tcPr>
          <w:p w14:paraId="6CBF5F4A" w14:textId="77777777" w:rsidR="00AA02E4" w:rsidRPr="00EF7CF9" w:rsidRDefault="00AA02E4" w:rsidP="00F01ED6">
            <w:pPr>
              <w:pStyle w:val="ProductList-OfferingBody"/>
              <w:jc w:val="center"/>
            </w:pPr>
            <w:r>
              <w:t>25%</w:t>
            </w:r>
          </w:p>
        </w:tc>
      </w:tr>
    </w:tbl>
    <w:bookmarkEnd w:id="198"/>
    <w:p w14:paraId="0942994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AEE03E" w14:textId="77777777" w:rsidR="00C71243" w:rsidRPr="00C71243" w:rsidRDefault="00C71243" w:rsidP="00F01ED6">
      <w:pPr>
        <w:pStyle w:val="ProductList-Offering2Heading"/>
        <w:keepNext/>
        <w:tabs>
          <w:tab w:val="clear" w:pos="360"/>
          <w:tab w:val="clear" w:pos="720"/>
          <w:tab w:val="clear" w:pos="1080"/>
        </w:tabs>
        <w:outlineLvl w:val="2"/>
      </w:pPr>
      <w:bookmarkStart w:id="202" w:name="_Toc182409649"/>
      <w:r>
        <w:t>Azure Database for MariaDB</w:t>
      </w:r>
      <w:bookmarkEnd w:id="202"/>
    </w:p>
    <w:p w14:paraId="01DD9227" w14:textId="77777777" w:rsidR="00C71243" w:rsidRPr="00C71243" w:rsidRDefault="00C71243" w:rsidP="00F01ED6">
      <w:pPr>
        <w:pStyle w:val="ProductList-Body"/>
        <w:rPr>
          <w:b/>
          <w:bCs/>
          <w:color w:val="00188F"/>
        </w:rPr>
      </w:pPr>
      <w:r>
        <w:rPr>
          <w:b/>
          <w:bCs/>
          <w:color w:val="00188F"/>
        </w:rPr>
        <w:t>Definições Adicionais</w:t>
      </w:r>
    </w:p>
    <w:p w14:paraId="2C3C9DAA" w14:textId="65F85156" w:rsidR="00C71243" w:rsidRDefault="00380305" w:rsidP="00F01ED6">
      <w:pPr>
        <w:pStyle w:val="ProductList-Body"/>
      </w:pPr>
      <w:r>
        <w:t>“</w:t>
      </w:r>
      <w:r w:rsidR="00C71243">
        <w:rPr>
          <w:b/>
          <w:bCs/>
          <w:color w:val="00188F"/>
        </w:rPr>
        <w:t>Servidor</w:t>
      </w:r>
      <w:r>
        <w:t>”</w:t>
      </w:r>
      <w:r w:rsidR="00C71243">
        <w:t xml:space="preserve"> é uma determinada Base de Dados do Azure para o servidor MariaDB.</w:t>
      </w:r>
    </w:p>
    <w:p w14:paraId="426A35BB" w14:textId="243FC877" w:rsidR="00C71243" w:rsidRPr="00C71243" w:rsidRDefault="00EE6E3C" w:rsidP="00F01ED6">
      <w:pPr>
        <w:pStyle w:val="ProductList-Body"/>
        <w:spacing w:before="120"/>
        <w:rPr>
          <w:b/>
          <w:bCs/>
          <w:color w:val="00188F"/>
        </w:rPr>
      </w:pPr>
      <w:r>
        <w:rPr>
          <w:b/>
          <w:bCs/>
          <w:color w:val="00188F"/>
        </w:rPr>
        <w:t>Cálculo do Período de Disponibilidade e Níveis de Serviço para Base de Dados do Azure para MariaDB</w:t>
      </w:r>
    </w:p>
    <w:p w14:paraId="7F9C0DD0" w14:textId="0EA27C0A" w:rsidR="00C71243" w:rsidRDefault="00380305" w:rsidP="00F01ED6">
      <w:pPr>
        <w:pStyle w:val="ProductList-Body"/>
      </w:pPr>
      <w:r>
        <w:t>“</w:t>
      </w:r>
      <w:r w:rsidR="00C71243">
        <w:rPr>
          <w:b/>
          <w:bCs/>
          <w:color w:val="00188F"/>
        </w:rPr>
        <w:t>Máximo de Minutos Disponíveis</w:t>
      </w:r>
      <w:r>
        <w:t>”</w:t>
      </w:r>
      <w:r w:rsidR="00C71243">
        <w:t xml:space="preserve"> designa o número total de minutos para um determinado Servidor implementado pelo Cliente numa determinada subscrição do Microsoft Azure durante um Período Aplicável.</w:t>
      </w:r>
    </w:p>
    <w:p w14:paraId="21BFD013" w14:textId="673B6C55" w:rsidR="00C71243" w:rsidRDefault="00380305" w:rsidP="00F01ED6">
      <w:pPr>
        <w:pStyle w:val="ProductList-Body"/>
      </w:pPr>
      <w:r>
        <w:t>“</w:t>
      </w:r>
      <w:r w:rsidR="00C71243">
        <w:rPr>
          <w:b/>
          <w:bCs/>
          <w:color w:val="00188F"/>
        </w:rPr>
        <w:t>Período de Indisponibilidade</w:t>
      </w:r>
      <w:r>
        <w:t>”</w:t>
      </w:r>
      <w:r w:rsidR="00C71243">
        <w:t xml:space="preserve"> designa o número total de minutos durante o Máximo de Minutos Disponíveis durante os quais um Servidor está</w:t>
      </w:r>
      <w:r w:rsidR="00C25207">
        <w:t> </w:t>
      </w:r>
      <w:r w:rsidR="00C71243">
        <w:t>indisponível. Um minuto é considerado indisponível se todas as tentativas contínuas por parte do Cliente para estabelecer uma ligação ao</w:t>
      </w:r>
      <w:r w:rsidR="00C25207">
        <w:t> </w:t>
      </w:r>
      <w:r w:rsidR="00C71243">
        <w:t>Servidor devolveram um Código de Erro.</w:t>
      </w:r>
    </w:p>
    <w:p w14:paraId="0D0C4BE2" w14:textId="2DB594F0" w:rsidR="00C71243" w:rsidRDefault="00C71243" w:rsidP="00F01ED6">
      <w:pPr>
        <w:pStyle w:val="ProductList-Body"/>
      </w:pPr>
      <w:r>
        <w:t xml:space="preserve">A </w:t>
      </w:r>
      <w:r w:rsidR="00380305">
        <w:t>“</w:t>
      </w:r>
      <w:r>
        <w:rPr>
          <w:b/>
          <w:bCs/>
          <w:color w:val="00188F"/>
        </w:rPr>
        <w:t>Percentagem de Período de Disponibilidade</w:t>
      </w:r>
      <w:r w:rsidR="00380305">
        <w:t>”</w:t>
      </w:r>
      <w:r>
        <w:t xml:space="preserve"> para a Base de Dados do Azure para MariaDB é calculada como o Máximo de Minutos Disponíveis menos o Período de Indisponibilidade a dividir pelo Máximo de Minutos Disponíveis.</w:t>
      </w:r>
    </w:p>
    <w:p w14:paraId="2EB00BE0" w14:textId="6FAD217D" w:rsidR="00C71243" w:rsidRDefault="00AC48A7" w:rsidP="00F01ED6">
      <w:pPr>
        <w:pStyle w:val="ProductList-Body"/>
      </w:pPr>
      <w:r>
        <w:t>A Percentagem de Período de Disponibilidade é representada pela seguinte fórmula:</w:t>
      </w:r>
    </w:p>
    <w:p w14:paraId="05B37320" w14:textId="77777777" w:rsidR="00C71243" w:rsidRPr="007C69E0" w:rsidRDefault="00C71243" w:rsidP="00F01ED6">
      <w:pPr>
        <w:pStyle w:val="ProductList-Body"/>
        <w:rPr>
          <w:sz w:val="12"/>
          <w:szCs w:val="12"/>
        </w:rPr>
      </w:pPr>
    </w:p>
    <w:p w14:paraId="505452FD" w14:textId="55DFFA6C" w:rsidR="00C71243"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F69D4B" w14:textId="77777777" w:rsidR="00C71243" w:rsidRPr="00E80B8A" w:rsidRDefault="00C71243" w:rsidP="00F01ED6">
      <w:pPr>
        <w:pStyle w:val="ProductList-Body"/>
        <w:keepNext/>
        <w:jc w:val="both"/>
        <w:rPr>
          <w:b/>
          <w:bCs/>
          <w:color w:val="00188F"/>
          <w:spacing w:val="-2"/>
        </w:rPr>
      </w:pPr>
      <w:r w:rsidRPr="00E80B8A">
        <w:rPr>
          <w:b/>
          <w:bCs/>
          <w:color w:val="00188F"/>
          <w:spacing w:val="-2"/>
        </w:rPr>
        <w:t>Os seguintes Níveis de Serviço e Créditos de Serviço são aplicáveis à utilização que o Cliente faz da Base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4CD5CC" w14:textId="77777777" w:rsidR="00C71243" w:rsidRPr="00EF7CF9" w:rsidRDefault="00C71243" w:rsidP="00F01ED6">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F01ED6">
            <w:pPr>
              <w:pStyle w:val="ProductList-OfferingBody"/>
              <w:jc w:val="center"/>
            </w:pPr>
            <w:r>
              <w:t>&lt; 99,99%</w:t>
            </w:r>
          </w:p>
        </w:tc>
        <w:tc>
          <w:tcPr>
            <w:tcW w:w="5400" w:type="dxa"/>
          </w:tcPr>
          <w:p w14:paraId="25F98893" w14:textId="77777777" w:rsidR="00C71243" w:rsidRPr="00EF7CF9" w:rsidRDefault="00C71243" w:rsidP="00F01ED6">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F01ED6">
            <w:pPr>
              <w:pStyle w:val="ProductList-OfferingBody"/>
              <w:jc w:val="center"/>
            </w:pPr>
            <w:r>
              <w:t>&lt; 99%</w:t>
            </w:r>
          </w:p>
        </w:tc>
        <w:tc>
          <w:tcPr>
            <w:tcW w:w="5400" w:type="dxa"/>
          </w:tcPr>
          <w:p w14:paraId="5CFE0918" w14:textId="77777777" w:rsidR="00C71243" w:rsidRPr="00EF7CF9" w:rsidRDefault="00C71243" w:rsidP="00F01ED6">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F01ED6">
            <w:pPr>
              <w:pStyle w:val="ProductList-OfferingBody"/>
              <w:jc w:val="center"/>
            </w:pPr>
            <w:r>
              <w:t>&lt; 95%</w:t>
            </w:r>
          </w:p>
        </w:tc>
        <w:tc>
          <w:tcPr>
            <w:tcW w:w="5400" w:type="dxa"/>
          </w:tcPr>
          <w:p w14:paraId="6AA9FFE9" w14:textId="14A3DFC2" w:rsidR="00C71243" w:rsidRPr="00EF7CF9" w:rsidRDefault="00C71243" w:rsidP="00F01ED6">
            <w:pPr>
              <w:pStyle w:val="ProductList-OfferingBody"/>
              <w:jc w:val="center"/>
            </w:pPr>
            <w:r>
              <w:t>100%</w:t>
            </w:r>
          </w:p>
        </w:tc>
      </w:tr>
    </w:tbl>
    <w:p w14:paraId="0BAFEBA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3A25C8" w14:textId="0EEE7C79" w:rsidR="004005AF" w:rsidRDefault="004005AF" w:rsidP="00F01ED6">
      <w:pPr>
        <w:pStyle w:val="ProductList-Offering2Heading"/>
        <w:tabs>
          <w:tab w:val="clear" w:pos="360"/>
          <w:tab w:val="clear" w:pos="720"/>
          <w:tab w:val="clear" w:pos="1080"/>
        </w:tabs>
        <w:outlineLvl w:val="2"/>
      </w:pPr>
      <w:bookmarkStart w:id="203" w:name="_Toc182409650"/>
      <w:r>
        <w:t>Base de Dados do Azure para MySQL</w:t>
      </w:r>
      <w:bookmarkEnd w:id="189"/>
      <w:bookmarkEnd w:id="190"/>
      <w:bookmarkEnd w:id="203"/>
    </w:p>
    <w:p w14:paraId="01C85662" w14:textId="77777777" w:rsidR="004005AF" w:rsidRPr="00C950BA" w:rsidRDefault="004005AF" w:rsidP="00F01ED6">
      <w:pPr>
        <w:pStyle w:val="ProductList-Body"/>
        <w:rPr>
          <w:b/>
          <w:color w:val="00188F"/>
        </w:rPr>
      </w:pPr>
      <w:r>
        <w:rPr>
          <w:b/>
          <w:color w:val="00188F"/>
        </w:rPr>
        <w:t>Base de Dados do Microsoft Azure para MySQL – Servidor Único</w:t>
      </w:r>
    </w:p>
    <w:p w14:paraId="7DA6904A" w14:textId="77777777" w:rsidR="004005AF" w:rsidRPr="00DA6241" w:rsidRDefault="004005AF" w:rsidP="00F01ED6">
      <w:pPr>
        <w:pStyle w:val="ProductList-Body"/>
      </w:pPr>
      <w:r>
        <w:rPr>
          <w:b/>
          <w:color w:val="00188F"/>
        </w:rPr>
        <w:t>Definições Adicionais</w:t>
      </w:r>
      <w:r w:rsidRPr="00473DD3">
        <w:rPr>
          <w:b/>
          <w:color w:val="00188F"/>
        </w:rPr>
        <w:t>:</w:t>
      </w:r>
    </w:p>
    <w:p w14:paraId="79FA6AE8" w14:textId="57354AE0"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Único.</w:t>
      </w:r>
    </w:p>
    <w:p w14:paraId="16E43926" w14:textId="301F0F97"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a Base de Dados do Microsoft Azure para MySQL - Servidor Único</w:t>
      </w:r>
    </w:p>
    <w:p w14:paraId="4C712BD0" w14:textId="38CAC1D3"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2CAAAF91" w14:textId="491EA661"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 indisponível. Um minuto é considerado indisponível se todas as tentativas contínuas por parte do Cliente para estabelecer uma ligação ao Servidor devolveram um Código de Erro.</w:t>
      </w:r>
    </w:p>
    <w:p w14:paraId="2B1E21D2" w14:textId="1597D846" w:rsidR="004005AF" w:rsidRDefault="004005AF" w:rsidP="00F01ED6">
      <w:pPr>
        <w:pStyle w:val="ProductList-Body"/>
      </w:pPr>
      <w:r>
        <w:t xml:space="preserve">A </w:t>
      </w:r>
      <w:r w:rsidR="00380305" w:rsidRPr="00380305">
        <w:t>“</w:t>
      </w:r>
      <w:r>
        <w:rPr>
          <w:b/>
          <w:color w:val="00188F"/>
        </w:rPr>
        <w:t>Percentagem de Período de Disponibilidade</w:t>
      </w:r>
      <w:r w:rsidR="00380305">
        <w:t>”</w:t>
      </w:r>
      <w:r>
        <w:t xml:space="preserve"> para a Base de Dados do Azure para MySQL é calculada como o Máximo de Minutos Disponíveis menos o Período de Indisponibilidade a dividir pelo Máximo de Minutos Disponíveis. </w:t>
      </w:r>
    </w:p>
    <w:p w14:paraId="3E044E74" w14:textId="7E3F4AD8" w:rsidR="004005AF" w:rsidRDefault="004005AF" w:rsidP="00F01ED6">
      <w:pPr>
        <w:pStyle w:val="ProductList-Body"/>
      </w:pPr>
      <w:r>
        <w:t xml:space="preserve">A Percentagem de Período de Disponibilidade é calculada através da seguinte fórmula: </w:t>
      </w:r>
    </w:p>
    <w:p w14:paraId="464297D3" w14:textId="77777777" w:rsidR="004005AF" w:rsidRPr="007C69E0" w:rsidRDefault="004005AF" w:rsidP="00F01ED6">
      <w:pPr>
        <w:pStyle w:val="ProductList-Body"/>
        <w:rPr>
          <w:sz w:val="12"/>
          <w:szCs w:val="12"/>
        </w:rPr>
      </w:pPr>
    </w:p>
    <w:p w14:paraId="03C751C6" w14:textId="45465677"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098BD6C" w14:textId="77777777" w:rsidR="004005AF" w:rsidRDefault="004005AF" w:rsidP="00F01ED6">
      <w:pPr>
        <w:pStyle w:val="ProductList-Body"/>
      </w:pPr>
      <w:r>
        <w:rPr>
          <w:b/>
          <w:color w:val="00188F"/>
        </w:rPr>
        <w:t>Os seguintes Níveis de Serviço e Créditos de Serviço são aplicáveis à utilização que o Cliente faz da Base de Dados do Azure para MySQL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4B18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F01ED6">
            <w:pPr>
              <w:pStyle w:val="ProductList-OfferingBody"/>
              <w:jc w:val="center"/>
            </w:pPr>
            <w:r>
              <w:t>&lt; 99,99%</w:t>
            </w:r>
          </w:p>
        </w:tc>
        <w:tc>
          <w:tcPr>
            <w:tcW w:w="5400" w:type="dxa"/>
          </w:tcPr>
          <w:p w14:paraId="37B94C00" w14:textId="77777777" w:rsidR="004005AF" w:rsidRPr="0076238C" w:rsidRDefault="004005AF" w:rsidP="00F01ED6">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F01ED6">
            <w:pPr>
              <w:pStyle w:val="ProductList-OfferingBody"/>
              <w:jc w:val="center"/>
            </w:pPr>
            <w:r>
              <w:t>&lt; 99%</w:t>
            </w:r>
          </w:p>
        </w:tc>
        <w:tc>
          <w:tcPr>
            <w:tcW w:w="5400" w:type="dxa"/>
          </w:tcPr>
          <w:p w14:paraId="46BC5E0C" w14:textId="77777777" w:rsidR="004005AF" w:rsidRPr="0076238C" w:rsidRDefault="004005AF" w:rsidP="00F01ED6">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F01ED6">
            <w:pPr>
              <w:pStyle w:val="ProductList-OfferingBody"/>
              <w:jc w:val="center"/>
            </w:pPr>
            <w:r>
              <w:t>&lt; 95%</w:t>
            </w:r>
          </w:p>
        </w:tc>
        <w:tc>
          <w:tcPr>
            <w:tcW w:w="5400" w:type="dxa"/>
          </w:tcPr>
          <w:p w14:paraId="43F894BE" w14:textId="77777777" w:rsidR="004005AF" w:rsidRDefault="004005AF" w:rsidP="00F01ED6">
            <w:pPr>
              <w:pStyle w:val="ProductList-OfferingBody"/>
              <w:jc w:val="center"/>
            </w:pPr>
            <w:r>
              <w:t>100%</w:t>
            </w:r>
          </w:p>
        </w:tc>
      </w:tr>
    </w:tbl>
    <w:p w14:paraId="60DC947B" w14:textId="77777777" w:rsidR="004005AF" w:rsidRPr="00ED4527" w:rsidRDefault="004005AF" w:rsidP="007C69E0">
      <w:pPr>
        <w:pStyle w:val="ProductList-Body"/>
        <w:tabs>
          <w:tab w:val="clear" w:pos="360"/>
          <w:tab w:val="clear" w:pos="720"/>
          <w:tab w:val="clear" w:pos="1080"/>
        </w:tabs>
        <w:spacing w:before="120"/>
        <w:rPr>
          <w:b/>
          <w:bCs/>
        </w:rPr>
      </w:pPr>
      <w:bookmarkStart w:id="204" w:name="_Toc513395511"/>
      <w:r>
        <w:rPr>
          <w:b/>
          <w:bCs/>
          <w:color w:val="00188F"/>
        </w:rPr>
        <w:t>Base de Dados do Microsoft Azure para MySQL – Servidor Flexível</w:t>
      </w:r>
    </w:p>
    <w:p w14:paraId="093919F0" w14:textId="77777777" w:rsidR="004005AF" w:rsidRPr="00DA6241" w:rsidRDefault="004005AF" w:rsidP="00F01ED6">
      <w:pPr>
        <w:pStyle w:val="ProductList-Body"/>
      </w:pPr>
      <w:r>
        <w:rPr>
          <w:b/>
          <w:color w:val="00188F"/>
        </w:rPr>
        <w:t>Definições Adicionais</w:t>
      </w:r>
      <w:r w:rsidRPr="00473DD3">
        <w:rPr>
          <w:b/>
          <w:color w:val="00188F"/>
        </w:rPr>
        <w:t>:</w:t>
      </w:r>
    </w:p>
    <w:p w14:paraId="6EA4CB33" w14:textId="3779B439"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Flexível.</w:t>
      </w:r>
    </w:p>
    <w:p w14:paraId="43145A83" w14:textId="7F438180" w:rsidR="004005AF" w:rsidRDefault="00380305" w:rsidP="00F01ED6">
      <w:pPr>
        <w:pStyle w:val="ProductList-Body"/>
        <w:tabs>
          <w:tab w:val="clear" w:pos="360"/>
          <w:tab w:val="clear" w:pos="720"/>
          <w:tab w:val="clear" w:pos="1080"/>
        </w:tabs>
      </w:pPr>
      <w:r w:rsidRPr="00380305">
        <w:t>“</w:t>
      </w:r>
      <w:r w:rsidR="004005AF">
        <w:rPr>
          <w:b/>
          <w:bCs/>
          <w:color w:val="00188F"/>
        </w:rPr>
        <w:t>Elevada Disponibilidade</w:t>
      </w:r>
      <w:r w:rsidRPr="00380305">
        <w:t>”</w:t>
      </w:r>
      <w:r w:rsidR="004005AF">
        <w:t xml:space="preserve"> no contexto de Servidor Flexível designa um conjunto de servidores de Elevada Disponibilidade (Principal e de reserva) implementado na redundância entre zonas ou na redundância na mesma zona.</w:t>
      </w:r>
    </w:p>
    <w:p w14:paraId="7EE13E82" w14:textId="463674D0"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MySQL - Servidor Flexível</w:t>
      </w:r>
    </w:p>
    <w:p w14:paraId="22280926" w14:textId="3E9DC27A" w:rsidR="004005AF" w:rsidRDefault="00380305" w:rsidP="00F01ED6">
      <w:pPr>
        <w:pStyle w:val="ProductList-Body"/>
      </w:pPr>
      <w:r w:rsidRPr="00380305">
        <w:t>“</w:t>
      </w:r>
      <w:r w:rsidR="004005AF">
        <w:rPr>
          <w:b/>
          <w:bCs/>
          <w:color w:val="00188F"/>
        </w:rPr>
        <w:t>Máximo de Minutos Disponíveis</w:t>
      </w:r>
      <w:r w:rsidRPr="00380305">
        <w:t>”</w:t>
      </w:r>
      <w:r w:rsidR="004005AF">
        <w:t xml:space="preserve"> designa o número total de minutos para um determinado Servidor implementado pelo Cliente numa determinada subscrição do Microsoft Azure durante um Período Aplicável.</w:t>
      </w:r>
    </w:p>
    <w:p w14:paraId="74F3BD76" w14:textId="5AC74441" w:rsidR="004005AF" w:rsidRDefault="00380305" w:rsidP="00F01ED6">
      <w:pPr>
        <w:pStyle w:val="ProductList-Body"/>
      </w:pPr>
      <w:r w:rsidRPr="00380305">
        <w:t>“</w:t>
      </w:r>
      <w:r w:rsidR="004005AF">
        <w:rPr>
          <w:b/>
          <w:bCs/>
          <w:color w:val="00188F"/>
        </w:rPr>
        <w:t>Período de Indisponibilidade</w:t>
      </w:r>
      <w:r w:rsidRPr="00380305">
        <w:t>”</w:t>
      </w:r>
      <w:r w:rsidR="004005AF">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45B83CB8" w14:textId="58E5C996" w:rsidR="004005AF" w:rsidRDefault="004005AF" w:rsidP="00F01ED6">
      <w:pPr>
        <w:pStyle w:val="ProductList-Body"/>
      </w:pPr>
      <w:r>
        <w:t xml:space="preserve">A </w:t>
      </w:r>
      <w:r w:rsidR="00380305" w:rsidRPr="00380305">
        <w:t>“</w:t>
      </w:r>
      <w:r>
        <w:rPr>
          <w:b/>
          <w:bCs/>
          <w:color w:val="00188F"/>
        </w:rPr>
        <w:t>Percentagem de Período de Disponibilidade</w:t>
      </w:r>
      <w:r w:rsidR="00380305" w:rsidRPr="00380305">
        <w:t>”</w:t>
      </w:r>
      <w:r>
        <w:t xml:space="preserve"> para a Base de Dados do Azure para MySQL - Servidor Flexível é calculada como o Máximo de Minutos Disponíveis menos o Período de Indisponibilidade a dividir pelo Máximo de Minutos Disponíveis.</w:t>
      </w:r>
    </w:p>
    <w:p w14:paraId="47FE4B91" w14:textId="3F23E174" w:rsidR="004005AF" w:rsidRDefault="00AC48A7" w:rsidP="00F01ED6">
      <w:pPr>
        <w:pStyle w:val="ProductList-Body"/>
        <w:tabs>
          <w:tab w:val="clear" w:pos="360"/>
          <w:tab w:val="clear" w:pos="720"/>
          <w:tab w:val="clear" w:pos="1080"/>
        </w:tabs>
      </w:pPr>
      <w:r>
        <w:t>A Percentagem de Período de Disponibilidade é representada pela seguinte fórmula:</w:t>
      </w:r>
    </w:p>
    <w:p w14:paraId="01A5C2A9" w14:textId="77777777" w:rsidR="004005AF" w:rsidRPr="007C69E0" w:rsidRDefault="004005AF" w:rsidP="00F01ED6">
      <w:pPr>
        <w:pStyle w:val="ProductList-Body"/>
        <w:rPr>
          <w:sz w:val="12"/>
          <w:szCs w:val="12"/>
        </w:rPr>
      </w:pPr>
    </w:p>
    <w:p w14:paraId="4F297DB9" w14:textId="33DD414F"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5C9021F"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1AA9BA6"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F01ED6">
            <w:pPr>
              <w:pStyle w:val="ProductList-OfferingBody"/>
              <w:jc w:val="center"/>
            </w:pPr>
            <w:r>
              <w:t>Menos de 99,99% e superior ou igual a 99%</w:t>
            </w:r>
          </w:p>
        </w:tc>
        <w:tc>
          <w:tcPr>
            <w:tcW w:w="5400" w:type="dxa"/>
          </w:tcPr>
          <w:p w14:paraId="0C2FBEBD" w14:textId="77777777" w:rsidR="004005AF" w:rsidRPr="0076238C" w:rsidRDefault="004005AF" w:rsidP="00F01ED6">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F01ED6">
            <w:pPr>
              <w:pStyle w:val="ProductList-OfferingBody"/>
              <w:jc w:val="center"/>
            </w:pPr>
            <w:r>
              <w:t>Menos de 99% e superior ou igual a 95%</w:t>
            </w:r>
          </w:p>
        </w:tc>
        <w:tc>
          <w:tcPr>
            <w:tcW w:w="5400" w:type="dxa"/>
          </w:tcPr>
          <w:p w14:paraId="35D8F95A" w14:textId="77777777" w:rsidR="004005AF" w:rsidRPr="0076238C" w:rsidRDefault="004005AF" w:rsidP="00F01ED6">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F01ED6">
            <w:pPr>
              <w:pStyle w:val="ProductList-OfferingBody"/>
              <w:jc w:val="center"/>
            </w:pPr>
            <w:r>
              <w:t>&lt; 95%</w:t>
            </w:r>
          </w:p>
        </w:tc>
        <w:tc>
          <w:tcPr>
            <w:tcW w:w="5400" w:type="dxa"/>
          </w:tcPr>
          <w:p w14:paraId="2F8A7162" w14:textId="77777777" w:rsidR="004005AF" w:rsidRDefault="004005AF" w:rsidP="00F01ED6">
            <w:pPr>
              <w:pStyle w:val="ProductList-OfferingBody"/>
              <w:jc w:val="center"/>
            </w:pPr>
            <w:r>
              <w:t>100%</w:t>
            </w:r>
          </w:p>
        </w:tc>
      </w:tr>
    </w:tbl>
    <w:p w14:paraId="6232831E" w14:textId="77777777" w:rsidR="004005AF" w:rsidRPr="007C69E0" w:rsidRDefault="004005AF" w:rsidP="00F01ED6">
      <w:pPr>
        <w:pStyle w:val="ProductList-Body"/>
        <w:tabs>
          <w:tab w:val="clear" w:pos="360"/>
          <w:tab w:val="clear" w:pos="720"/>
          <w:tab w:val="clear" w:pos="1080"/>
        </w:tabs>
        <w:rPr>
          <w:sz w:val="12"/>
          <w:szCs w:val="12"/>
        </w:rPr>
      </w:pPr>
    </w:p>
    <w:p w14:paraId="46DD0850"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F85FD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F01ED6">
            <w:pPr>
              <w:pStyle w:val="ProductList-OfferingBody"/>
              <w:jc w:val="center"/>
            </w:pPr>
            <w:r>
              <w:t>Menos de 99,95% e superior ou igual a 99%</w:t>
            </w:r>
          </w:p>
        </w:tc>
        <w:tc>
          <w:tcPr>
            <w:tcW w:w="5400" w:type="dxa"/>
          </w:tcPr>
          <w:p w14:paraId="6A706C4A" w14:textId="77777777" w:rsidR="004005AF" w:rsidRPr="0076238C" w:rsidRDefault="004005AF" w:rsidP="00F01ED6">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F01ED6">
            <w:pPr>
              <w:pStyle w:val="ProductList-OfferingBody"/>
              <w:jc w:val="center"/>
            </w:pPr>
            <w:r>
              <w:t>&lt; 99%</w:t>
            </w:r>
          </w:p>
        </w:tc>
        <w:tc>
          <w:tcPr>
            <w:tcW w:w="5400" w:type="dxa"/>
          </w:tcPr>
          <w:p w14:paraId="08B7D64E" w14:textId="77777777" w:rsidR="004005AF" w:rsidRPr="0076238C" w:rsidRDefault="004005AF" w:rsidP="00F01ED6">
            <w:pPr>
              <w:pStyle w:val="ProductList-OfferingBody"/>
              <w:jc w:val="center"/>
            </w:pPr>
            <w:r>
              <w:t>25%</w:t>
            </w:r>
          </w:p>
        </w:tc>
      </w:tr>
    </w:tbl>
    <w:p w14:paraId="4B572E05" w14:textId="77777777" w:rsidR="004005AF" w:rsidRPr="007C69E0" w:rsidRDefault="004005AF" w:rsidP="00F01ED6">
      <w:pPr>
        <w:pStyle w:val="ProductList-Body"/>
        <w:tabs>
          <w:tab w:val="clear" w:pos="360"/>
          <w:tab w:val="clear" w:pos="720"/>
          <w:tab w:val="clear" w:pos="1080"/>
        </w:tabs>
        <w:rPr>
          <w:sz w:val="12"/>
          <w:szCs w:val="12"/>
        </w:rPr>
      </w:pPr>
    </w:p>
    <w:p w14:paraId="6A8D5FEA"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29EE20F"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F01ED6">
            <w:pPr>
              <w:pStyle w:val="ProductList-OfferingBody"/>
              <w:jc w:val="center"/>
            </w:pPr>
            <w:r>
              <w:t>Menos de 99,9% e superior ou igual a 99%</w:t>
            </w:r>
          </w:p>
        </w:tc>
        <w:tc>
          <w:tcPr>
            <w:tcW w:w="5400" w:type="dxa"/>
          </w:tcPr>
          <w:p w14:paraId="738CE13C" w14:textId="77777777" w:rsidR="004005AF" w:rsidRPr="0076238C" w:rsidRDefault="004005AF" w:rsidP="00F01ED6">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F01ED6">
            <w:pPr>
              <w:pStyle w:val="ProductList-OfferingBody"/>
              <w:jc w:val="center"/>
            </w:pPr>
            <w:r>
              <w:t>&lt; 99%</w:t>
            </w:r>
          </w:p>
        </w:tc>
        <w:tc>
          <w:tcPr>
            <w:tcW w:w="5400" w:type="dxa"/>
          </w:tcPr>
          <w:p w14:paraId="50CD7567" w14:textId="77777777" w:rsidR="004005AF" w:rsidRPr="0076238C" w:rsidRDefault="004005AF" w:rsidP="00F01ED6">
            <w:pPr>
              <w:pStyle w:val="ProductList-OfferingBody"/>
              <w:jc w:val="center"/>
            </w:pPr>
            <w:r>
              <w:t>25%</w:t>
            </w:r>
          </w:p>
        </w:tc>
      </w:tr>
    </w:tbl>
    <w:bookmarkStart w:id="205" w:name="_Toc52348928"/>
    <w:p w14:paraId="4BC55B0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74871DA" w14:textId="77777777" w:rsidR="00B17972" w:rsidRDefault="00B17972">
      <w:pPr>
        <w:rPr>
          <w:rFonts w:asciiTheme="majorHAnsi" w:hAnsiTheme="majorHAnsi"/>
          <w:b/>
          <w:color w:val="0072C6"/>
          <w:sz w:val="28"/>
        </w:rPr>
      </w:pPr>
      <w:r>
        <w:br w:type="page"/>
      </w:r>
    </w:p>
    <w:p w14:paraId="6768A13F" w14:textId="6EC93022" w:rsidR="004005AF" w:rsidRDefault="004005AF" w:rsidP="00F01ED6">
      <w:pPr>
        <w:pStyle w:val="ProductList-Offering2Heading"/>
        <w:tabs>
          <w:tab w:val="clear" w:pos="360"/>
          <w:tab w:val="clear" w:pos="720"/>
          <w:tab w:val="clear" w:pos="1080"/>
        </w:tabs>
        <w:outlineLvl w:val="2"/>
      </w:pPr>
      <w:bookmarkStart w:id="206" w:name="_Toc182409651"/>
      <w:r>
        <w:t>Base de Dados do Azure para PostgreSQL</w:t>
      </w:r>
      <w:bookmarkEnd w:id="204"/>
      <w:bookmarkEnd w:id="205"/>
      <w:bookmarkEnd w:id="206"/>
    </w:p>
    <w:p w14:paraId="33FEE15A" w14:textId="77777777" w:rsidR="004005AF" w:rsidRPr="00E7723E" w:rsidRDefault="004005AF" w:rsidP="00F01ED6">
      <w:pPr>
        <w:pStyle w:val="ProductList-Body"/>
        <w:rPr>
          <w:b/>
          <w:color w:val="00188F"/>
        </w:rPr>
      </w:pPr>
      <w:r>
        <w:rPr>
          <w:b/>
          <w:color w:val="00188F"/>
        </w:rPr>
        <w:t>Base de Dados do Azure para PostgreSQL - Servidor Único</w:t>
      </w:r>
    </w:p>
    <w:p w14:paraId="54181003" w14:textId="77777777" w:rsidR="004005AF" w:rsidRPr="00DA6241" w:rsidRDefault="004005AF" w:rsidP="00F01ED6">
      <w:pPr>
        <w:pStyle w:val="ProductList-Body"/>
      </w:pPr>
      <w:r>
        <w:rPr>
          <w:b/>
          <w:color w:val="00188F"/>
        </w:rPr>
        <w:t>Definições Adicionais</w:t>
      </w:r>
      <w:r w:rsidRPr="00473DD3">
        <w:rPr>
          <w:b/>
          <w:color w:val="00188F"/>
        </w:rPr>
        <w:t>:</w:t>
      </w:r>
    </w:p>
    <w:p w14:paraId="3A2B2685" w14:textId="54B894C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qualquer servidor de Base de Dados do Azure para PostgreSQL - Servidor Único.</w:t>
      </w:r>
    </w:p>
    <w:p w14:paraId="24719795" w14:textId="6D012659"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conjunto de Nós de Elevada Disponibilidade.</w:t>
      </w:r>
    </w:p>
    <w:p w14:paraId="34D0EBBF" w14:textId="6BA9D296"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Nó num grupo de servidores com elevada disponibilidade ativada.</w:t>
      </w:r>
    </w:p>
    <w:p w14:paraId="4DF0D634" w14:textId="2A9C055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que é atribuído à função de Coordenador do Cluster.</w:t>
      </w:r>
    </w:p>
    <w:p w14:paraId="2B565E3C" w14:textId="05FF3F12"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que é atribuído à função de Trabalho.</w:t>
      </w:r>
    </w:p>
    <w:p w14:paraId="2B69F95E" w14:textId="05FB6519" w:rsidR="004005AF" w:rsidRPr="00ED4527" w:rsidRDefault="00EE6E3C" w:rsidP="00F01ED6">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Período de Disponibilidade e Níveis de Serviço para a Base de Dados do Microsoft Azure para PostgreSQL - Servidor Único</w:t>
      </w:r>
    </w:p>
    <w:p w14:paraId="1B904F43" w14:textId="48881B4C"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0A3D7517" w14:textId="41E2155E"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w:t>
      </w:r>
      <w:r w:rsidR="00196B1B">
        <w:rPr>
          <w:sz w:val="18"/>
        </w:rPr>
        <w:t> </w:t>
      </w:r>
      <w:r w:rsidR="004005AF">
        <w:rPr>
          <w:sz w:val="18"/>
        </w:rPr>
        <w:t>indisponível. Um minuto é considerado indisponível se todas as tentativas contínuas por parte do Cliente para estabelecer uma ligação com</w:t>
      </w:r>
      <w:r w:rsidR="00196B1B">
        <w:rPr>
          <w:sz w:val="18"/>
        </w:rPr>
        <w:t> </w:t>
      </w:r>
      <w:r w:rsidR="004005AF">
        <w:rPr>
          <w:sz w:val="18"/>
        </w:rPr>
        <w:t>o</w:t>
      </w:r>
      <w:r w:rsidR="00196B1B">
        <w:rPr>
          <w:sz w:val="18"/>
        </w:rPr>
        <w:t> </w:t>
      </w:r>
      <w:r w:rsidR="004005AF">
        <w:rPr>
          <w:sz w:val="18"/>
        </w:rPr>
        <w:t>Servidor devolverem um Código de Erro ou não responderem ao fim de um minuto.</w:t>
      </w:r>
    </w:p>
    <w:p w14:paraId="72C1AC39" w14:textId="3617F5FD"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a Base de Dados do Azure para PostgreSQL é calculada como o Máximo de Minutos Disponíveis menos o Período de Indisponibilidade a dividir pelo Máximo de Minutos Disponíveis.</w:t>
      </w:r>
    </w:p>
    <w:p w14:paraId="0AF901BE" w14:textId="718A5B80" w:rsidR="004005AF" w:rsidRDefault="004005AF" w:rsidP="00F01ED6">
      <w:pPr>
        <w:pStyle w:val="ProductList-Body"/>
      </w:pPr>
      <w:r>
        <w:t xml:space="preserve">A Percentagem de Período de Disponibilidade é calculada através da seguinte fórmula: </w:t>
      </w:r>
    </w:p>
    <w:p w14:paraId="356630A5" w14:textId="77777777" w:rsidR="00485BEC" w:rsidRDefault="00485BEC" w:rsidP="00F01ED6">
      <w:pPr>
        <w:pStyle w:val="ProductList-Body"/>
      </w:pPr>
    </w:p>
    <w:p w14:paraId="0DC49365" w14:textId="77777777" w:rsidR="004005AF" w:rsidRPr="007C69E0" w:rsidRDefault="004005AF" w:rsidP="00F01ED6">
      <w:pPr>
        <w:pStyle w:val="ProductList-Body"/>
        <w:rPr>
          <w:sz w:val="12"/>
          <w:szCs w:val="12"/>
        </w:rPr>
      </w:pPr>
    </w:p>
    <w:p w14:paraId="4957341A" w14:textId="58237E6E" w:rsidR="004005AF" w:rsidRPr="00191B8C"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769BF1"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0A1CE8"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F01ED6">
            <w:pPr>
              <w:pStyle w:val="ProductList-OfferingBody"/>
              <w:jc w:val="center"/>
            </w:pPr>
            <w:r>
              <w:t>&lt; 99,99%</w:t>
            </w:r>
          </w:p>
        </w:tc>
        <w:tc>
          <w:tcPr>
            <w:tcW w:w="5400" w:type="dxa"/>
          </w:tcPr>
          <w:p w14:paraId="15931EC2" w14:textId="77777777" w:rsidR="004005AF" w:rsidRPr="0076238C" w:rsidRDefault="004005AF" w:rsidP="00F01ED6">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F01ED6">
            <w:pPr>
              <w:pStyle w:val="ProductList-OfferingBody"/>
              <w:jc w:val="center"/>
            </w:pPr>
            <w:r>
              <w:t>&lt; 99%</w:t>
            </w:r>
          </w:p>
        </w:tc>
        <w:tc>
          <w:tcPr>
            <w:tcW w:w="5400" w:type="dxa"/>
          </w:tcPr>
          <w:p w14:paraId="6B3E1525" w14:textId="77777777" w:rsidR="004005AF" w:rsidRPr="0076238C" w:rsidRDefault="004005AF" w:rsidP="00F01ED6">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F01ED6">
            <w:pPr>
              <w:pStyle w:val="ProductList-OfferingBody"/>
              <w:jc w:val="center"/>
            </w:pPr>
            <w:r>
              <w:t>&lt; 95%</w:t>
            </w:r>
          </w:p>
        </w:tc>
        <w:tc>
          <w:tcPr>
            <w:tcW w:w="5400" w:type="dxa"/>
          </w:tcPr>
          <w:p w14:paraId="1B7AA6D0" w14:textId="77777777" w:rsidR="004005AF" w:rsidRDefault="004005AF" w:rsidP="00F01ED6">
            <w:pPr>
              <w:pStyle w:val="ProductList-OfferingBody"/>
              <w:jc w:val="center"/>
            </w:pPr>
            <w:r>
              <w:t>100%</w:t>
            </w:r>
          </w:p>
        </w:tc>
      </w:tr>
    </w:tbl>
    <w:p w14:paraId="36D6E7A3" w14:textId="77777777" w:rsidR="004005AF" w:rsidRPr="00ED4527" w:rsidRDefault="004005AF" w:rsidP="00C86171">
      <w:pPr>
        <w:pStyle w:val="ProductList-Body"/>
        <w:spacing w:before="120"/>
        <w:rPr>
          <w:b/>
          <w:bCs/>
          <w:color w:val="00188F"/>
        </w:rPr>
      </w:pPr>
      <w:bookmarkStart w:id="207" w:name="_Toc513395512"/>
      <w:r>
        <w:rPr>
          <w:b/>
          <w:bCs/>
          <w:color w:val="00188F"/>
        </w:rPr>
        <w:t>Base de Dados do Microsoft Azure para PostgreSQL – Servidor Flexível</w:t>
      </w:r>
    </w:p>
    <w:p w14:paraId="6D811BDF" w14:textId="77777777" w:rsidR="004005AF" w:rsidRPr="00ED4527" w:rsidRDefault="004005AF" w:rsidP="00F01ED6">
      <w:pPr>
        <w:pStyle w:val="ProductList-Body"/>
        <w:rPr>
          <w:b/>
          <w:bCs/>
          <w:color w:val="00188F"/>
        </w:rPr>
      </w:pPr>
      <w:r>
        <w:rPr>
          <w:b/>
          <w:bCs/>
          <w:color w:val="00188F"/>
        </w:rPr>
        <w:t>Definições Adicionais:</w:t>
      </w:r>
    </w:p>
    <w:p w14:paraId="0D173B0B" w14:textId="291448EC" w:rsidR="004005AF" w:rsidRPr="00ED4527" w:rsidRDefault="00380305" w:rsidP="00F01ED6">
      <w:pPr>
        <w:pStyle w:val="ProductList-Body"/>
        <w:rPr>
          <w:color w:val="000000" w:themeColor="text1"/>
        </w:rPr>
      </w:pPr>
      <w:r w:rsidRPr="00380305">
        <w:t>“</w:t>
      </w:r>
      <w:r w:rsidR="004005AF">
        <w:rPr>
          <w:b/>
          <w:bCs/>
          <w:color w:val="00188F"/>
        </w:rPr>
        <w:t>Servidor</w:t>
      </w:r>
      <w:r w:rsidRPr="00380305">
        <w:t>”</w:t>
      </w:r>
      <w:r w:rsidR="004005AF">
        <w:rPr>
          <w:color w:val="00188F"/>
        </w:rPr>
        <w:t xml:space="preserve"> </w:t>
      </w:r>
      <w:r w:rsidR="004005AF">
        <w:rPr>
          <w:color w:val="000000" w:themeColor="text1"/>
        </w:rPr>
        <w:t>é qualquer servidor de Base de Dados do Azure para PostgreSQL - Servidor Flexível.</w:t>
      </w:r>
    </w:p>
    <w:p w14:paraId="4F40C061" w14:textId="636A025F" w:rsidR="004005AF" w:rsidRPr="00ED4527" w:rsidRDefault="00380305" w:rsidP="00F01ED6">
      <w:pPr>
        <w:pStyle w:val="ProductList-Body"/>
        <w:rPr>
          <w:color w:val="000000" w:themeColor="text1"/>
        </w:rPr>
      </w:pPr>
      <w:r w:rsidRPr="00380305">
        <w:t>“</w:t>
      </w:r>
      <w:r w:rsidR="004005AF">
        <w:rPr>
          <w:b/>
          <w:bCs/>
          <w:color w:val="00188F"/>
        </w:rPr>
        <w:t>Elevada Disponibilidade</w:t>
      </w:r>
      <w:r w:rsidRPr="00380305">
        <w:t>”</w:t>
      </w:r>
      <w:r w:rsidR="004005AF">
        <w:rPr>
          <w:color w:val="00188F"/>
        </w:rPr>
        <w:t xml:space="preserve"> </w:t>
      </w:r>
      <w:r w:rsidR="004005AF">
        <w:rPr>
          <w:color w:val="000000" w:themeColor="text1"/>
        </w:rPr>
        <w:t>no contexto de Servidor Flexível designa um conjunto de servidores de Elevada Disponibilidade (Principal e de reserva) implementado numa configuração de redundância entre zonas ou na redundância na mesma zona.</w:t>
      </w:r>
    </w:p>
    <w:p w14:paraId="0221299A" w14:textId="68B71F97"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PostgreSQL - Servidor Flexível</w:t>
      </w:r>
    </w:p>
    <w:p w14:paraId="4D459CB0" w14:textId="41577466"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188F"/>
        </w:rPr>
        <w:t xml:space="preserve"> </w:t>
      </w:r>
      <w:r w:rsidR="004005AF">
        <w:rPr>
          <w:color w:val="000000" w:themeColor="text1"/>
        </w:rPr>
        <w:t>designa o número total de minutos para um determinado Servidor implementado pelo Cliente numa determinada subscrição do Microsoft Azure durante um Período Aplicável.</w:t>
      </w:r>
    </w:p>
    <w:p w14:paraId="0298D812" w14:textId="624E65B4"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3CA5E3A3" w14:textId="29F973FC" w:rsidR="004005AF" w:rsidRPr="00ED4527" w:rsidRDefault="004005AF" w:rsidP="00F01ED6">
      <w:pPr>
        <w:pStyle w:val="ProductList-Body"/>
        <w:rPr>
          <w:color w:val="000000" w:themeColor="text1"/>
        </w:rPr>
      </w:pPr>
      <w:r>
        <w:t xml:space="preserve">A </w:t>
      </w:r>
      <w:r w:rsidR="00380305" w:rsidRPr="00380305">
        <w:t>“</w:t>
      </w:r>
      <w:r>
        <w:rPr>
          <w:b/>
          <w:bCs/>
          <w:color w:val="00188F"/>
        </w:rPr>
        <w:t>Percentagem de Período de Disponibilidade</w:t>
      </w:r>
      <w:r w:rsidR="00380305" w:rsidRPr="00380305">
        <w:t>”</w:t>
      </w:r>
      <w:r>
        <w:rPr>
          <w:color w:val="000000" w:themeColor="text1"/>
        </w:rPr>
        <w:t xml:space="preserve"> para a Base de Dados do Azure para PostgreSQL - Servidor Flexível é calculada como o Máximo de</w:t>
      </w:r>
      <w:r w:rsidR="00125081">
        <w:rPr>
          <w:color w:val="000000" w:themeColor="text1"/>
        </w:rPr>
        <w:t> </w:t>
      </w:r>
      <w:r>
        <w:rPr>
          <w:color w:val="000000" w:themeColor="text1"/>
        </w:rPr>
        <w:t>Minutos Disponíveis menos o Período de Indisponibilidade a dividir pelo Máximo de Minutos Disponíveis.</w:t>
      </w:r>
    </w:p>
    <w:p w14:paraId="431AA76E" w14:textId="56A74B73" w:rsidR="004005AF"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095EED1" w14:textId="77777777" w:rsidR="004005AF" w:rsidRPr="00ED4527" w:rsidRDefault="004005AF" w:rsidP="00F01ED6">
      <w:pPr>
        <w:pStyle w:val="ProductList-Body"/>
        <w:tabs>
          <w:tab w:val="clear" w:pos="360"/>
          <w:tab w:val="clear" w:pos="720"/>
          <w:tab w:val="clear" w:pos="1080"/>
        </w:tabs>
        <w:rPr>
          <w:color w:val="000000" w:themeColor="text1"/>
        </w:rPr>
      </w:pPr>
    </w:p>
    <w:p w14:paraId="42F7A92F" w14:textId="004FAE94"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C0FAD21" w14:textId="77777777" w:rsidR="000331B9" w:rsidRDefault="000331B9" w:rsidP="009B6B6C">
      <w:pPr>
        <w:pStyle w:val="ProductList-Body"/>
        <w:keepNext/>
        <w:rPr>
          <w:b/>
          <w:color w:val="00188F"/>
        </w:rPr>
      </w:pPr>
    </w:p>
    <w:p w14:paraId="32224139" w14:textId="4A0E278A" w:rsidR="004005AF" w:rsidRDefault="004005AF" w:rsidP="009B6B6C">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005C49"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F01ED6">
            <w:pPr>
              <w:pStyle w:val="ProductList-OfferingBody"/>
              <w:jc w:val="center"/>
            </w:pPr>
            <w:r>
              <w:t>Menos de 99,99% e superior ou igual a 99%</w:t>
            </w:r>
          </w:p>
        </w:tc>
        <w:tc>
          <w:tcPr>
            <w:tcW w:w="5400" w:type="dxa"/>
          </w:tcPr>
          <w:p w14:paraId="4E17E991" w14:textId="77777777" w:rsidR="004005AF" w:rsidRPr="0076238C" w:rsidRDefault="004005AF" w:rsidP="00F01ED6">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F01ED6">
            <w:pPr>
              <w:pStyle w:val="ProductList-OfferingBody"/>
              <w:jc w:val="center"/>
            </w:pPr>
            <w:r>
              <w:t>Menos de 99% e superior ou igual a 95%</w:t>
            </w:r>
          </w:p>
        </w:tc>
        <w:tc>
          <w:tcPr>
            <w:tcW w:w="5400" w:type="dxa"/>
          </w:tcPr>
          <w:p w14:paraId="53CD4A22" w14:textId="77777777" w:rsidR="004005AF" w:rsidRPr="0076238C" w:rsidRDefault="004005AF" w:rsidP="00F01ED6">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F01ED6">
            <w:pPr>
              <w:pStyle w:val="ProductList-OfferingBody"/>
              <w:jc w:val="center"/>
            </w:pPr>
            <w:r>
              <w:t>&lt; 95%</w:t>
            </w:r>
          </w:p>
        </w:tc>
        <w:tc>
          <w:tcPr>
            <w:tcW w:w="5400" w:type="dxa"/>
          </w:tcPr>
          <w:p w14:paraId="75166A6D" w14:textId="77777777" w:rsidR="004005AF" w:rsidRDefault="004005AF" w:rsidP="00F01ED6">
            <w:pPr>
              <w:pStyle w:val="ProductList-OfferingBody"/>
              <w:jc w:val="center"/>
            </w:pPr>
            <w:r>
              <w:t>100%</w:t>
            </w:r>
          </w:p>
        </w:tc>
      </w:tr>
    </w:tbl>
    <w:p w14:paraId="5EEDF4FF" w14:textId="77777777" w:rsidR="004005AF" w:rsidRPr="000974C9" w:rsidRDefault="004005AF" w:rsidP="00F01ED6">
      <w:pPr>
        <w:pStyle w:val="ProductList-Body"/>
        <w:tabs>
          <w:tab w:val="clear" w:pos="360"/>
          <w:tab w:val="clear" w:pos="720"/>
          <w:tab w:val="clear" w:pos="1080"/>
        </w:tabs>
        <w:rPr>
          <w:sz w:val="12"/>
          <w:szCs w:val="12"/>
        </w:rPr>
      </w:pPr>
    </w:p>
    <w:p w14:paraId="69DCBF1D"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710F24"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F01ED6">
            <w:pPr>
              <w:pStyle w:val="ProductList-OfferingBody"/>
              <w:jc w:val="center"/>
            </w:pPr>
            <w:r>
              <w:t>Menos de 99,95% e superior ou igual a 99%</w:t>
            </w:r>
          </w:p>
        </w:tc>
        <w:tc>
          <w:tcPr>
            <w:tcW w:w="5400" w:type="dxa"/>
          </w:tcPr>
          <w:p w14:paraId="40DDBEAA" w14:textId="77777777" w:rsidR="004005AF" w:rsidRPr="0076238C" w:rsidRDefault="004005AF" w:rsidP="00F01ED6">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F01ED6">
            <w:pPr>
              <w:pStyle w:val="ProductList-OfferingBody"/>
              <w:jc w:val="center"/>
            </w:pPr>
            <w:r>
              <w:t>&lt; 99%</w:t>
            </w:r>
          </w:p>
        </w:tc>
        <w:tc>
          <w:tcPr>
            <w:tcW w:w="5400" w:type="dxa"/>
          </w:tcPr>
          <w:p w14:paraId="4210AC71" w14:textId="77777777" w:rsidR="004005AF" w:rsidRPr="0076238C" w:rsidRDefault="004005AF" w:rsidP="00F01ED6">
            <w:pPr>
              <w:pStyle w:val="ProductList-OfferingBody"/>
              <w:jc w:val="center"/>
            </w:pPr>
            <w:r>
              <w:t>25%</w:t>
            </w:r>
          </w:p>
        </w:tc>
      </w:tr>
    </w:tbl>
    <w:p w14:paraId="64647DBF" w14:textId="77777777" w:rsidR="004005AF" w:rsidRPr="000974C9" w:rsidRDefault="004005AF" w:rsidP="00F01ED6">
      <w:pPr>
        <w:pStyle w:val="ProductList-Body"/>
        <w:tabs>
          <w:tab w:val="clear" w:pos="360"/>
          <w:tab w:val="clear" w:pos="720"/>
          <w:tab w:val="clear" w:pos="1080"/>
        </w:tabs>
        <w:rPr>
          <w:color w:val="000000" w:themeColor="text1"/>
          <w:sz w:val="12"/>
          <w:szCs w:val="12"/>
        </w:rPr>
      </w:pPr>
    </w:p>
    <w:p w14:paraId="7E38F208"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D2456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F01ED6">
            <w:pPr>
              <w:pStyle w:val="ProductList-OfferingBody"/>
              <w:jc w:val="center"/>
            </w:pPr>
            <w:r>
              <w:t>Menos de 99,9% e superior ou igual a 99%</w:t>
            </w:r>
          </w:p>
        </w:tc>
        <w:tc>
          <w:tcPr>
            <w:tcW w:w="5400" w:type="dxa"/>
          </w:tcPr>
          <w:p w14:paraId="2B29722A" w14:textId="77777777" w:rsidR="004005AF" w:rsidRPr="0076238C" w:rsidRDefault="004005AF" w:rsidP="00F01ED6">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F01ED6">
            <w:pPr>
              <w:pStyle w:val="ProductList-OfferingBody"/>
              <w:jc w:val="center"/>
            </w:pPr>
            <w:r>
              <w:t>&lt; 99%</w:t>
            </w:r>
          </w:p>
        </w:tc>
        <w:tc>
          <w:tcPr>
            <w:tcW w:w="5400" w:type="dxa"/>
          </w:tcPr>
          <w:p w14:paraId="0A822267" w14:textId="77777777" w:rsidR="004005AF" w:rsidRPr="0076238C" w:rsidRDefault="004005AF" w:rsidP="00F01ED6">
            <w:pPr>
              <w:pStyle w:val="ProductList-OfferingBody"/>
              <w:jc w:val="center"/>
            </w:pPr>
            <w:r>
              <w:t>25%</w:t>
            </w:r>
          </w:p>
        </w:tc>
      </w:tr>
    </w:tbl>
    <w:bookmarkStart w:id="208" w:name="_Toc52348929"/>
    <w:p w14:paraId="6D513C5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F41EBE9" w14:textId="77777777" w:rsidR="00CD240F" w:rsidRPr="00CD240F" w:rsidRDefault="00CD240F" w:rsidP="00F01ED6">
      <w:pPr>
        <w:pStyle w:val="ProductList-Offering2Heading"/>
        <w:keepNext/>
        <w:tabs>
          <w:tab w:val="clear" w:pos="360"/>
          <w:tab w:val="clear" w:pos="720"/>
          <w:tab w:val="clear" w:pos="1080"/>
        </w:tabs>
        <w:outlineLvl w:val="2"/>
      </w:pPr>
      <w:bookmarkStart w:id="209" w:name="_Toc182409652"/>
      <w:r>
        <w:t>Azure Databricks</w:t>
      </w:r>
      <w:bookmarkEnd w:id="209"/>
    </w:p>
    <w:p w14:paraId="0F040D15" w14:textId="77777777" w:rsidR="00CD240F" w:rsidRPr="00CD240F" w:rsidRDefault="00CD240F" w:rsidP="00F01ED6">
      <w:pPr>
        <w:pStyle w:val="ProductList-Body"/>
        <w:rPr>
          <w:b/>
          <w:bCs/>
          <w:color w:val="00188F"/>
        </w:rPr>
      </w:pPr>
      <w:r>
        <w:rPr>
          <w:b/>
          <w:bCs/>
          <w:color w:val="00188F"/>
        </w:rPr>
        <w:t>Definições Adicionais</w:t>
      </w:r>
    </w:p>
    <w:p w14:paraId="2976A464" w14:textId="7F01D4C0" w:rsidR="00CD240F" w:rsidRDefault="00380305" w:rsidP="00F01ED6">
      <w:pPr>
        <w:pStyle w:val="ProductList-Body"/>
      </w:pPr>
      <w:r>
        <w:t>“</w:t>
      </w:r>
      <w:r w:rsidR="00CD240F">
        <w:rPr>
          <w:b/>
          <w:bCs/>
          <w:color w:val="00188F"/>
        </w:rPr>
        <w:t>Gateway do Azure Databricks</w:t>
      </w:r>
      <w:r>
        <w:t>”</w:t>
      </w:r>
      <w:r w:rsidR="00CD240F">
        <w:t xml:space="preserve"> é um conjunto de recursos informáticos que aproxima os pedidos de API e UI entre o Cliente e o Azure Databricks.</w:t>
      </w:r>
    </w:p>
    <w:p w14:paraId="120D2066" w14:textId="1B4FBB93" w:rsidR="00CD240F" w:rsidRPr="00CD240F" w:rsidRDefault="00EE6E3C" w:rsidP="00F01ED6">
      <w:pPr>
        <w:pStyle w:val="ProductList-Body"/>
        <w:spacing w:before="120"/>
        <w:rPr>
          <w:b/>
          <w:bCs/>
          <w:color w:val="00188F"/>
        </w:rPr>
      </w:pPr>
      <w:r>
        <w:rPr>
          <w:b/>
          <w:bCs/>
          <w:color w:val="00188F"/>
        </w:rPr>
        <w:t>Cálculo do Período de Disponibilidade e Níveis de Serviço para o Azure Databricks</w:t>
      </w:r>
    </w:p>
    <w:p w14:paraId="1CA09F9B" w14:textId="6FB9767B" w:rsidR="00CD240F" w:rsidRDefault="00380305" w:rsidP="00F01ED6">
      <w:pPr>
        <w:pStyle w:val="ProductList-Body"/>
      </w:pPr>
      <w:r>
        <w:t>“</w:t>
      </w:r>
      <w:r w:rsidR="00CD240F">
        <w:rPr>
          <w:b/>
          <w:bCs/>
          <w:color w:val="00188F"/>
        </w:rPr>
        <w:t>Máximo de Minutos Disponíveis</w:t>
      </w:r>
      <w:r>
        <w:t>”</w:t>
      </w:r>
      <w:r w:rsidR="00CD240F">
        <w:t xml:space="preserve"> é o número total de minutos em todos os espaços de trabalho do Azure Databricks implementados pelo Cliente numa determinada subscrição do Microsoft Azure durante um Período Aplicável.</w:t>
      </w:r>
    </w:p>
    <w:p w14:paraId="7E3ED12B" w14:textId="5CCD475D" w:rsidR="00CD240F" w:rsidRPr="00E80B8A" w:rsidRDefault="00380305" w:rsidP="00F01ED6">
      <w:pPr>
        <w:pStyle w:val="ProductList-Body"/>
        <w:rPr>
          <w:spacing w:val="-2"/>
        </w:rPr>
      </w:pPr>
      <w:r>
        <w:rPr>
          <w:spacing w:val="-2"/>
        </w:rPr>
        <w:t>“</w:t>
      </w:r>
      <w:r w:rsidR="00CD240F" w:rsidRPr="00E80B8A">
        <w:rPr>
          <w:b/>
          <w:bCs/>
          <w:color w:val="00188F"/>
          <w:spacing w:val="-2"/>
        </w:rPr>
        <w:t>Período de Indisponibilidade</w:t>
      </w:r>
      <w:r>
        <w:rPr>
          <w:spacing w:val="-2"/>
        </w:rPr>
        <w:t>”</w:t>
      </w:r>
      <w:r w:rsidR="00CD240F" w:rsidRPr="00E80B8A">
        <w:rPr>
          <w:spacing w:val="-2"/>
        </w:rPr>
        <w:t xml:space="preserve"> designa o total de minutos acumulados de indisponibilidade em todos os espaços de trabalho do Azure Databricks implementadas numa determinada subscrição do Microsoft Azure. Um minuto é considerado indisponível para um determinado espaço de trabalho do</w:t>
      </w:r>
      <w:r w:rsidR="004C15BB">
        <w:rPr>
          <w:spacing w:val="-2"/>
        </w:rPr>
        <w:t> </w:t>
      </w:r>
      <w:r w:rsidR="00CD240F" w:rsidRPr="00E80B8A">
        <w:rPr>
          <w:spacing w:val="-2"/>
        </w:rPr>
        <w:t>Azure Databricks se falharem todas as tentativas contínuas nesse minuto para estabelecer uma ligação com o Gateway do Azure Databricks.</w:t>
      </w:r>
    </w:p>
    <w:p w14:paraId="43314FEF" w14:textId="3F29D6CF" w:rsidR="00CD240F" w:rsidRDefault="00CD240F" w:rsidP="00F01ED6">
      <w:pPr>
        <w:pStyle w:val="ProductList-Body"/>
      </w:pPr>
      <w:r>
        <w:t xml:space="preserve">A </w:t>
      </w:r>
      <w:r w:rsidR="00380305">
        <w:t>“</w:t>
      </w:r>
      <w:r>
        <w:rPr>
          <w:b/>
          <w:bCs/>
          <w:color w:val="00188F"/>
        </w:rPr>
        <w:t>Percentagem de Período de Disponibilidade</w:t>
      </w:r>
      <w:r w:rsidR="00380305">
        <w:t>”</w:t>
      </w:r>
      <w:r>
        <w:t xml:space="preserve"> para o Serviço Azure Databricks é calculada como o Máximo de Minutos Disponíveis menos o</w:t>
      </w:r>
      <w:r w:rsidR="00C55C00">
        <w:t> </w:t>
      </w:r>
      <w:r>
        <w:t>Período de Indisponibilidade, dividido pelo Máximo de Minutos Disponíveis e multiplicado por 100. A Percentagem de Período de Disponibilidade é representada pela seguinte fórmula:</w:t>
      </w:r>
    </w:p>
    <w:p w14:paraId="54F54E67" w14:textId="77777777" w:rsidR="00CD240F" w:rsidRPr="000974C9" w:rsidRDefault="00CD240F" w:rsidP="00F01ED6">
      <w:pPr>
        <w:pStyle w:val="ProductList-Body"/>
        <w:tabs>
          <w:tab w:val="clear" w:pos="360"/>
          <w:tab w:val="clear" w:pos="720"/>
          <w:tab w:val="clear" w:pos="1080"/>
        </w:tabs>
        <w:rPr>
          <w:color w:val="000000" w:themeColor="text1"/>
          <w:sz w:val="12"/>
          <w:szCs w:val="12"/>
        </w:rPr>
      </w:pPr>
    </w:p>
    <w:p w14:paraId="61CDB55C" w14:textId="08D3E62B" w:rsidR="00CD240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3E99B09" w14:textId="77777777" w:rsidR="00CD240F" w:rsidRPr="00CD240F" w:rsidRDefault="00CD240F" w:rsidP="00F01ED6">
      <w:pPr>
        <w:pStyle w:val="ProductList-Body"/>
        <w:rPr>
          <w:b/>
          <w:bCs/>
          <w:color w:val="00188F"/>
        </w:rPr>
      </w:pPr>
      <w:r>
        <w:rPr>
          <w:b/>
          <w:bCs/>
          <w:color w:val="00188F"/>
        </w:rPr>
        <w:t>Os seguintes Níveis de Serviço e Créditos de Serviço são aplicáveis à utilização do Azure Databricks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9362B0" w14:textId="77777777" w:rsidR="00CD240F" w:rsidRPr="001A0074" w:rsidRDefault="00CD240F" w:rsidP="00F01ED6">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F01ED6">
            <w:pPr>
              <w:pStyle w:val="ProductList-OfferingBody"/>
              <w:jc w:val="center"/>
            </w:pPr>
            <w:r>
              <w:t>&lt; 99,95%</w:t>
            </w:r>
          </w:p>
        </w:tc>
        <w:tc>
          <w:tcPr>
            <w:tcW w:w="5400" w:type="dxa"/>
          </w:tcPr>
          <w:p w14:paraId="007E12EF" w14:textId="77777777" w:rsidR="00CD240F" w:rsidRPr="0076238C" w:rsidRDefault="00CD240F" w:rsidP="00F01ED6">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F01ED6">
            <w:pPr>
              <w:pStyle w:val="ProductList-OfferingBody"/>
              <w:jc w:val="center"/>
            </w:pPr>
            <w:r>
              <w:t>&lt; 99%</w:t>
            </w:r>
          </w:p>
        </w:tc>
        <w:tc>
          <w:tcPr>
            <w:tcW w:w="5400" w:type="dxa"/>
          </w:tcPr>
          <w:p w14:paraId="393CF9F4" w14:textId="77777777" w:rsidR="00CD240F" w:rsidRPr="0076238C" w:rsidRDefault="00CD240F" w:rsidP="00F01ED6">
            <w:pPr>
              <w:pStyle w:val="ProductList-OfferingBody"/>
              <w:jc w:val="center"/>
            </w:pPr>
            <w:r>
              <w:t>25%</w:t>
            </w:r>
          </w:p>
        </w:tc>
      </w:tr>
    </w:tbl>
    <w:p w14:paraId="0EF3F4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AD966BC" w14:textId="77777777" w:rsidR="007B7A97" w:rsidRDefault="007B7A97" w:rsidP="00F01ED6">
      <w:pPr>
        <w:pStyle w:val="ProductList-Offering2Heading"/>
        <w:tabs>
          <w:tab w:val="clear" w:pos="360"/>
          <w:tab w:val="clear" w:pos="720"/>
          <w:tab w:val="clear" w:pos="1080"/>
        </w:tabs>
        <w:outlineLvl w:val="2"/>
      </w:pPr>
      <w:bookmarkStart w:id="210" w:name="_Toc182409653"/>
      <w:r>
        <w:t>Gestor de Dados para Energia do Microsoft Azure</w:t>
      </w:r>
      <w:bookmarkEnd w:id="210"/>
    </w:p>
    <w:p w14:paraId="41471812" w14:textId="77777777" w:rsidR="007B7A97" w:rsidRPr="005E7AC5" w:rsidRDefault="007B7A97" w:rsidP="00F01ED6">
      <w:pPr>
        <w:pStyle w:val="ProductList-Body"/>
        <w:rPr>
          <w:b/>
          <w:color w:val="00188F"/>
        </w:rPr>
      </w:pPr>
      <w:r>
        <w:rPr>
          <w:b/>
          <w:color w:val="00188F"/>
        </w:rPr>
        <w:t>Definições adicionais:</w:t>
      </w:r>
    </w:p>
    <w:p w14:paraId="5F733D8F" w14:textId="6BC9E636" w:rsidR="007B7A97" w:rsidRDefault="00380305" w:rsidP="00F01ED6">
      <w:pPr>
        <w:spacing w:after="0" w:line="240" w:lineRule="auto"/>
      </w:pPr>
      <w:r w:rsidRPr="00380305">
        <w:rPr>
          <w:sz w:val="18"/>
        </w:rPr>
        <w:t>“</w:t>
      </w:r>
      <w:r w:rsidR="007B7A97">
        <w:rPr>
          <w:b/>
          <w:color w:val="00188F"/>
          <w:sz w:val="18"/>
        </w:rPr>
        <w:t>Cliente</w:t>
      </w:r>
      <w:r>
        <w:rPr>
          <w:sz w:val="18"/>
        </w:rPr>
        <w:t>”</w:t>
      </w:r>
      <w:r w:rsidR="007B7A97">
        <w:rPr>
          <w:sz w:val="18"/>
        </w:rPr>
        <w:t xml:space="preserve"> é a parte destinada ao utilizador final do recurso Gestor de Dados para Energia do Microsoft Azure.</w:t>
      </w:r>
      <w:r w:rsidR="007B7A97">
        <w:t xml:space="preserve"> </w:t>
      </w:r>
    </w:p>
    <w:p w14:paraId="172835FD" w14:textId="0337FC85" w:rsidR="007B7A97" w:rsidRDefault="00380305" w:rsidP="00F01ED6">
      <w:pPr>
        <w:pStyle w:val="ProductList-Body"/>
      </w:pPr>
      <w:r>
        <w:t>“</w:t>
      </w:r>
      <w:r w:rsidR="007B7A97">
        <w:rPr>
          <w:b/>
          <w:color w:val="00188F"/>
        </w:rPr>
        <w:t>Total de Pedidos de API</w:t>
      </w:r>
      <w:r>
        <w:t>”</w:t>
      </w:r>
      <w:r w:rsidR="007B7A97">
        <w:t xml:space="preserve"> designa o número total de pedidos de API autenticados feitos pelo cliente para qualquer um dos pontos finais da API do respetivo recurso Gestor de Dados para Energia do Azure durante um Período Aplicável para uma determinada subscrição do Microsoft Azure. </w:t>
      </w:r>
    </w:p>
    <w:p w14:paraId="7CABD70A" w14:textId="7BFE299D" w:rsidR="007B7A97" w:rsidRDefault="00380305" w:rsidP="00F01ED6">
      <w:pPr>
        <w:pStyle w:val="ProductList-Body"/>
      </w:pPr>
      <w:r>
        <w:t>“</w:t>
      </w:r>
      <w:r w:rsidR="007B7A97">
        <w:rPr>
          <w:b/>
          <w:color w:val="00188F"/>
        </w:rPr>
        <w:t>Pedidos de API com Falhas</w:t>
      </w:r>
      <w:r>
        <w:t>”</w:t>
      </w:r>
      <w:r w:rsidR="007B7A97">
        <w:t xml:space="preserve"> é o conjunto de todos os pedidos de API entre o Total de Pedidos de API que resultam num Código de Erro. </w:t>
      </w:r>
    </w:p>
    <w:p w14:paraId="67659A4F" w14:textId="77777777" w:rsidR="007B7A97" w:rsidRPr="005E7AC5" w:rsidRDefault="007B7A97" w:rsidP="00F01ED6">
      <w:pPr>
        <w:pStyle w:val="ProductList-Body"/>
      </w:pPr>
    </w:p>
    <w:p w14:paraId="3FDDB652" w14:textId="340EF086" w:rsidR="007B7A97" w:rsidRDefault="00AC48A7" w:rsidP="00F01ED6">
      <w:pPr>
        <w:pStyle w:val="ProductList-Body"/>
      </w:pPr>
      <w:r>
        <w:t>Percentagem de Período de Disponibilidade: A Percentagem de Período de Disponibilidade é calculada através da seguinte fórmula:</w:t>
      </w:r>
    </w:p>
    <w:p w14:paraId="37A837AA" w14:textId="77777777" w:rsidR="007B7A97" w:rsidRDefault="007B7A97" w:rsidP="00F01ED6">
      <w:pPr>
        <w:pStyle w:val="ProductList-Body"/>
      </w:pPr>
    </w:p>
    <w:p w14:paraId="4B6C405C" w14:textId="0E56EDB4" w:rsidR="007B7A97" w:rsidRPr="005E7AC5" w:rsidRDefault="00000000" w:rsidP="00F01ED6">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Pedidos da API-Pedidos da API com Falha</m:t>
              </m:r>
            </m:num>
            <m:den>
              <m:r>
                <m:rPr>
                  <m:nor/>
                </m:rPr>
                <w:rPr>
                  <w:rFonts w:ascii="Cambria Math" w:hAnsi="Cambria Math" w:cs="Tahoma"/>
                  <w:i/>
                  <w:iCs/>
                  <w:sz w:val="18"/>
                  <w:szCs w:val="18"/>
                </w:rPr>
                <m:t>Total de Pedidos da API</m:t>
              </m:r>
            </m:den>
          </m:f>
          <m:r>
            <w:rPr>
              <w:rFonts w:ascii="Cambria Math" w:hAnsi="Cambria Math" w:cs="Tahoma"/>
              <w:sz w:val="18"/>
              <w:szCs w:val="18"/>
            </w:rPr>
            <m:t xml:space="preserve"> x 100</m:t>
          </m:r>
        </m:oMath>
      </m:oMathPara>
    </w:p>
    <w:p w14:paraId="12EDEDD4" w14:textId="11044DE7" w:rsidR="007B7A97" w:rsidRPr="008A2AEE" w:rsidRDefault="007B7A97" w:rsidP="00F01ED6">
      <w:pPr>
        <w:spacing w:after="0" w:line="240" w:lineRule="auto"/>
        <w:rPr>
          <w:b/>
          <w:bCs/>
          <w:color w:val="2E74B5" w:themeColor="accent1" w:themeShade="BF"/>
          <w:sz w:val="18"/>
          <w:szCs w:val="18"/>
        </w:rPr>
      </w:pPr>
      <w:r>
        <w:rPr>
          <w:b/>
          <w:bCs/>
          <w:color w:val="2E74B5" w:themeColor="accent1" w:themeShade="BF"/>
          <w:sz w:val="18"/>
          <w:szCs w:val="18"/>
        </w:rPr>
        <w:t>Crédito de Serviço</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F01ED6">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596D52C2" w:rsidR="007B7A97" w:rsidRDefault="007B7A97" w:rsidP="00F01ED6">
            <w:pPr>
              <w:pStyle w:val="ProductList-OfferingBody"/>
              <w:jc w:val="center"/>
            </w:pPr>
            <w:r>
              <w:t>&lt;</w:t>
            </w:r>
            <w:r w:rsidR="00F01ED6">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F01ED6">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F01ED6">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F01ED6">
            <w:pPr>
              <w:pStyle w:val="ProductList-OfferingBody"/>
              <w:jc w:val="center"/>
            </w:pPr>
            <w:r>
              <w:t>25%</w:t>
            </w:r>
          </w:p>
        </w:tc>
      </w:tr>
    </w:tbl>
    <w:p w14:paraId="47A59A6E" w14:textId="77777777" w:rsidR="007B7A97" w:rsidRPr="007C69E0" w:rsidRDefault="007B7A97" w:rsidP="00F01ED6">
      <w:pPr>
        <w:spacing w:after="0" w:line="240" w:lineRule="auto"/>
        <w:rPr>
          <w:rFonts w:ascii="Segoe UI" w:hAnsi="Segoe UI" w:cs="Segoe UI"/>
          <w:sz w:val="12"/>
          <w:szCs w:val="12"/>
        </w:rPr>
      </w:pPr>
    </w:p>
    <w:p w14:paraId="37225344" w14:textId="77777777" w:rsidR="007B7A97" w:rsidRPr="005E7AC5" w:rsidRDefault="007B7A97" w:rsidP="00F01ED6">
      <w:pPr>
        <w:pStyle w:val="ProductList-Body"/>
      </w:pPr>
      <w:r>
        <w:rPr>
          <w:b/>
          <w:color w:val="00188F"/>
        </w:rPr>
        <w:t>Exceções de nível de serviço</w:t>
      </w:r>
      <w:r w:rsidRPr="00473DD3">
        <w:rPr>
          <w:b/>
          <w:color w:val="00188F"/>
        </w:rPr>
        <w:t>:</w:t>
      </w:r>
      <w:r>
        <w:t xml:space="preserve"> Os Níveis de Serviço e os Créditos de Serviço são aplicáveis à utilização que o Cliente faz da Camada Standard do Gestor de Dados para Energia do Azure. A Camada Developer do Gestor de Dados para Energia do Microsoft Azure não está sujeita a este SLA.</w:t>
      </w:r>
    </w:p>
    <w:p w14:paraId="166AF72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F28C626" w14:textId="0EB85250" w:rsidR="004005AF" w:rsidRDefault="004005AF" w:rsidP="00F01ED6">
      <w:pPr>
        <w:pStyle w:val="ProductList-Offering2Heading"/>
        <w:tabs>
          <w:tab w:val="clear" w:pos="360"/>
          <w:tab w:val="clear" w:pos="720"/>
          <w:tab w:val="clear" w:pos="1080"/>
        </w:tabs>
        <w:outlineLvl w:val="2"/>
      </w:pPr>
      <w:bookmarkStart w:id="211" w:name="_Toc182409654"/>
      <w:r>
        <w:t>Azure DDoS Protection</w:t>
      </w:r>
      <w:bookmarkEnd w:id="207"/>
      <w:bookmarkEnd w:id="208"/>
      <w:bookmarkEnd w:id="211"/>
    </w:p>
    <w:p w14:paraId="5A46A1CE" w14:textId="77777777" w:rsidR="004005AF" w:rsidRPr="00DA6241" w:rsidRDefault="004005AF" w:rsidP="00F01ED6">
      <w:pPr>
        <w:pStyle w:val="ProductList-Body"/>
      </w:pPr>
      <w:r>
        <w:rPr>
          <w:b/>
          <w:color w:val="00188F"/>
        </w:rPr>
        <w:t>Definições Adicionais</w:t>
      </w:r>
      <w:r w:rsidRPr="00473DD3">
        <w:rPr>
          <w:b/>
          <w:color w:val="00188F"/>
        </w:rPr>
        <w:t>:</w:t>
      </w:r>
    </w:p>
    <w:p w14:paraId="62BA3B5E" w14:textId="2DDD44E8"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designa o número total de minutos durante os quais o Serviço DDoS Protection está ativado para uma determinada subscrição do Microsoft Azure durante um Período Aplicável.</w:t>
      </w:r>
    </w:p>
    <w:p w14:paraId="1D8475B1" w14:textId="724F904D" w:rsidR="004005AF" w:rsidRPr="00ED4527" w:rsidRDefault="00380305" w:rsidP="00F01ED6">
      <w:pPr>
        <w:spacing w:after="0" w:line="240" w:lineRule="auto"/>
        <w:rPr>
          <w:color w:val="000000" w:themeColor="text1"/>
          <w:sz w:val="18"/>
        </w:rPr>
      </w:pPr>
      <w:r>
        <w:rPr>
          <w:sz w:val="18"/>
        </w:rPr>
        <w:t>“</w:t>
      </w:r>
      <w:r w:rsidR="004005AF">
        <w:rPr>
          <w:b/>
          <w:color w:val="00188F"/>
          <w:sz w:val="18"/>
        </w:rPr>
        <w:t>Período de Indisponibilidade</w:t>
      </w:r>
      <w:r>
        <w:rPr>
          <w:sz w:val="18"/>
        </w:rPr>
        <w:t>”</w:t>
      </w:r>
      <w:r w:rsidR="004005AF">
        <w:rPr>
          <w:sz w:val="18"/>
          <w:szCs w:val="18"/>
        </w:rPr>
        <w:t xml:space="preserve"> </w:t>
      </w:r>
      <w:r w:rsidR="004005AF">
        <w:rPr>
          <w:sz w:val="18"/>
        </w:rPr>
        <w:t xml:space="preserve">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w:t>
      </w:r>
      <w:r w:rsidR="004005AF">
        <w:rPr>
          <w:color w:val="000000" w:themeColor="text1"/>
          <w:sz w:val="18"/>
        </w:rPr>
        <w:t>respetivo SLA</w:t>
      </w:r>
      <w:r w:rsidR="004005AF">
        <w:rPr>
          <w:color w:val="000000" w:themeColor="text1"/>
          <w:sz w:val="18"/>
          <w:szCs w:val="18"/>
        </w:rPr>
        <w:t xml:space="preserve"> pelos recursos do Azure subjacentes.</w:t>
      </w:r>
    </w:p>
    <w:p w14:paraId="7DA3DA65" w14:textId="217E9942"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é calculada como o Máximo de Minutos Disponíveis menos o Período de Indisponibilidade a</w:t>
      </w:r>
      <w:r w:rsidR="00C55C00">
        <w:rPr>
          <w:bCs/>
          <w:color w:val="000000" w:themeColor="text1"/>
        </w:rPr>
        <w:t> </w:t>
      </w:r>
      <w:r>
        <w:rPr>
          <w:bCs/>
          <w:color w:val="000000" w:themeColor="text1"/>
        </w:rPr>
        <w:t>dividir pelo Máximo de Minutos Disponíveis multiplicado por 100.</w:t>
      </w:r>
    </w:p>
    <w:p w14:paraId="11FE3F64" w14:textId="5D6CF346" w:rsidR="004005AF" w:rsidRDefault="004005AF" w:rsidP="00D2226A">
      <w:pPr>
        <w:pStyle w:val="ProductList-Body"/>
        <w:keepNext/>
      </w:pPr>
      <w:r>
        <w:t>A Percentagem de Período de Disponibilidade é calculada através da seguinte fórmula:</w:t>
      </w:r>
    </w:p>
    <w:p w14:paraId="61D2ABFA" w14:textId="77777777" w:rsidR="004005AF" w:rsidRDefault="004005AF" w:rsidP="00F01ED6">
      <w:pPr>
        <w:pStyle w:val="ProductList-Body"/>
      </w:pPr>
    </w:p>
    <w:p w14:paraId="6A1C8F0D" w14:textId="5D10321B" w:rsidR="004005AF"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4A8E1E0" w14:textId="77777777" w:rsidR="004005AF" w:rsidRDefault="004005AF" w:rsidP="00F01ED6">
      <w:pPr>
        <w:pStyle w:val="ProductList-Body"/>
        <w:keepNext/>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A29B6D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F01ED6">
            <w:pPr>
              <w:pStyle w:val="ProductList-OfferingBody"/>
              <w:jc w:val="center"/>
            </w:pPr>
            <w:r>
              <w:t>&lt; 99,99%</w:t>
            </w:r>
          </w:p>
        </w:tc>
        <w:tc>
          <w:tcPr>
            <w:tcW w:w="5400" w:type="dxa"/>
          </w:tcPr>
          <w:p w14:paraId="451C8035" w14:textId="77777777" w:rsidR="004005AF" w:rsidRPr="0076238C" w:rsidRDefault="004005AF" w:rsidP="00F01ED6">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F01ED6">
            <w:pPr>
              <w:pStyle w:val="ProductList-OfferingBody"/>
              <w:jc w:val="center"/>
            </w:pPr>
            <w:r>
              <w:t>&lt; 99,95%</w:t>
            </w:r>
          </w:p>
        </w:tc>
        <w:tc>
          <w:tcPr>
            <w:tcW w:w="5400" w:type="dxa"/>
          </w:tcPr>
          <w:p w14:paraId="4A518C21" w14:textId="77777777" w:rsidR="004005AF" w:rsidRPr="0076238C" w:rsidRDefault="004005AF" w:rsidP="00F01ED6">
            <w:pPr>
              <w:pStyle w:val="ProductList-OfferingBody"/>
              <w:jc w:val="center"/>
            </w:pPr>
            <w:r>
              <w:t>25%</w:t>
            </w:r>
          </w:p>
        </w:tc>
      </w:tr>
    </w:tbl>
    <w:bookmarkStart w:id="212" w:name="_Toc52348939"/>
    <w:bookmarkStart w:id="213" w:name="_Toc526859657"/>
    <w:bookmarkStart w:id="214" w:name="_Toc52348930"/>
    <w:bookmarkEnd w:id="191"/>
    <w:p w14:paraId="1B0A8EE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DE261" w14:textId="77777777" w:rsidR="00DE24F0" w:rsidRPr="00EF7CF9" w:rsidRDefault="00DE24F0" w:rsidP="00F01ED6">
      <w:pPr>
        <w:pStyle w:val="ProductList-Offering2Heading"/>
        <w:keepNext/>
        <w:tabs>
          <w:tab w:val="clear" w:pos="360"/>
          <w:tab w:val="clear" w:pos="720"/>
          <w:tab w:val="clear" w:pos="1080"/>
        </w:tabs>
        <w:outlineLvl w:val="2"/>
      </w:pPr>
      <w:bookmarkStart w:id="215" w:name="_Toc182409655"/>
      <w:r>
        <w:t xml:space="preserve">Azure </w:t>
      </w:r>
      <w:bookmarkEnd w:id="212"/>
      <w:r>
        <w:t>Defender</w:t>
      </w:r>
      <w:bookmarkEnd w:id="215"/>
    </w:p>
    <w:p w14:paraId="56727881" w14:textId="77777777" w:rsidR="00DE24F0" w:rsidRPr="00EF7CF9" w:rsidRDefault="00DE24F0" w:rsidP="00F01ED6">
      <w:pPr>
        <w:pStyle w:val="ProductList-Body"/>
      </w:pPr>
      <w:r>
        <w:rPr>
          <w:b/>
          <w:color w:val="00188F"/>
        </w:rPr>
        <w:t>Definições Adicionais</w:t>
      </w:r>
      <w:r w:rsidRPr="00473DD3">
        <w:rPr>
          <w:b/>
          <w:color w:val="00188F"/>
        </w:rPr>
        <w:t>:</w:t>
      </w:r>
    </w:p>
    <w:p w14:paraId="0085E1D5" w14:textId="5C16A9ED" w:rsidR="00DE24F0" w:rsidRPr="00EF7CF9" w:rsidRDefault="00380305" w:rsidP="00F01ED6">
      <w:pPr>
        <w:pStyle w:val="ProductList-Body"/>
        <w:spacing w:after="40"/>
      </w:pPr>
      <w:r>
        <w:t>“</w:t>
      </w:r>
      <w:r w:rsidR="00DE24F0">
        <w:rPr>
          <w:b/>
          <w:color w:val="00188F"/>
        </w:rPr>
        <w:t>Nó Protegido</w:t>
      </w:r>
      <w:r>
        <w:t>”</w:t>
      </w:r>
      <w:r w:rsidR="00DE24F0">
        <w:t xml:space="preserve"> designa um recurso do Microsoft Azure, contabilizado como um nó para efeitos de faturação, que está configurado para o Azure Defender.</w:t>
      </w:r>
    </w:p>
    <w:p w14:paraId="2B354A40" w14:textId="59197EB0" w:rsidR="00DE24F0" w:rsidRPr="00EF7CF9" w:rsidRDefault="00380305" w:rsidP="00F01ED6">
      <w:pPr>
        <w:pStyle w:val="ProductList-Body"/>
        <w:spacing w:after="40"/>
      </w:pPr>
      <w:r>
        <w:t>“</w:t>
      </w:r>
      <w:r w:rsidR="00DE24F0">
        <w:rPr>
          <w:b/>
          <w:color w:val="00188F"/>
        </w:rPr>
        <w:t>Monitorização da Segurança</w:t>
      </w:r>
      <w:r>
        <w:t>”</w:t>
      </w:r>
      <w:r w:rsidR="00DE24F0">
        <w:t xml:space="preserve"> designa a avaliação de um Nó Protegido que resulta em conclusões potenciais, como o estado de funcionamento da</w:t>
      </w:r>
      <w:r w:rsidR="00351A83">
        <w:t> </w:t>
      </w:r>
      <w:r w:rsidR="00DE24F0">
        <w:t>segurança, as recomendações e os alertas de segurança, expostas no Azure Defender.</w:t>
      </w:r>
    </w:p>
    <w:p w14:paraId="366E30A0" w14:textId="39DD5EDF" w:rsidR="00DE24F0" w:rsidRPr="00EF7CF9" w:rsidRDefault="00380305" w:rsidP="00F01ED6">
      <w:pPr>
        <w:pStyle w:val="ProductList-Body"/>
        <w:spacing w:after="40"/>
      </w:pPr>
      <w:r>
        <w:t>“</w:t>
      </w:r>
      <w:r w:rsidR="00DE24F0">
        <w:rPr>
          <w:b/>
          <w:color w:val="00188F"/>
        </w:rPr>
        <w:t>Máximo de Minutos Disponíveis</w:t>
      </w:r>
      <w:r>
        <w:t>”</w:t>
      </w:r>
      <w:r w:rsidR="00DE24F0">
        <w:t xml:space="preserve"> designa o número total de minutos durante um Período Aplicável em que um determinado Nó Protegido foi implementado e configurado para Monitorização da Segurança.</w:t>
      </w:r>
    </w:p>
    <w:p w14:paraId="3C4C3205" w14:textId="5CCD8E07" w:rsidR="00DE24F0" w:rsidRPr="00B44CF9" w:rsidRDefault="00380305" w:rsidP="00F01ED6">
      <w:pPr>
        <w:spacing w:after="0" w:line="240" w:lineRule="auto"/>
        <w:rPr>
          <w:sz w:val="18"/>
          <w:szCs w:val="18"/>
        </w:rPr>
      </w:pPr>
      <w:r>
        <w:rPr>
          <w:sz w:val="18"/>
          <w:szCs w:val="18"/>
        </w:rPr>
        <w:t>“</w:t>
      </w:r>
      <w:r w:rsidR="00DE24F0">
        <w:rPr>
          <w:b/>
          <w:color w:val="00188F"/>
          <w:sz w:val="18"/>
        </w:rPr>
        <w:t>Período de Indisponibilidade</w:t>
      </w:r>
      <w:r>
        <w:rPr>
          <w:sz w:val="18"/>
          <w:szCs w:val="18"/>
        </w:rPr>
        <w:t>”</w:t>
      </w:r>
      <w:r w:rsidR="00DE24F0">
        <w:rPr>
          <w:sz w:val="18"/>
          <w:szCs w:val="18"/>
        </w:rPr>
        <w:t xml:space="preserve"> </w:t>
      </w:r>
      <w:r w:rsidR="00DE24F0">
        <w:rPr>
          <w:sz w:val="18"/>
        </w:rPr>
        <w:t>designa o total de minutos acumulados durante um Período Aplicável em que as informações de Monitorização da</w:t>
      </w:r>
      <w:r w:rsidR="00651B27">
        <w:rPr>
          <w:sz w:val="18"/>
        </w:rPr>
        <w:t> </w:t>
      </w:r>
      <w:r w:rsidR="00DE24F0">
        <w:rPr>
          <w:sz w:val="18"/>
        </w:rPr>
        <w:t>Segurança de um determinado Nó Protegido estão indisponíveis. Um minuto é considerado indisponível para um determinado Nó Protegido se</w:t>
      </w:r>
      <w:r w:rsidR="00651B27">
        <w:rPr>
          <w:sz w:val="18"/>
        </w:rPr>
        <w:t> </w:t>
      </w:r>
      <w:r w:rsidR="00DE24F0">
        <w:rPr>
          <w:sz w:val="18"/>
        </w:rPr>
        <w:t>todas as tentativas contínuas para obter informações de Monitorização da Segurança durante um minuto resultarem num Código de Erro ou não</w:t>
      </w:r>
      <w:r w:rsidR="00651B27">
        <w:rPr>
          <w:sz w:val="18"/>
        </w:rPr>
        <w:t> </w:t>
      </w:r>
      <w:r w:rsidR="00DE24F0">
        <w:rPr>
          <w:sz w:val="18"/>
        </w:rPr>
        <w:t>devolverem um Código de Êxito num prazo de dois minutos</w:t>
      </w:r>
      <w:r w:rsidR="00DE24F0">
        <w:rPr>
          <w:sz w:val="18"/>
          <w:szCs w:val="18"/>
        </w:rPr>
        <w:t>.</w:t>
      </w:r>
    </w:p>
    <w:p w14:paraId="5227BB56" w14:textId="2916E201" w:rsidR="00DE24F0" w:rsidRPr="00ED4527" w:rsidRDefault="00DE24F0" w:rsidP="00F01ED6">
      <w:pPr>
        <w:pStyle w:val="ProductList-Body"/>
        <w:rPr>
          <w:color w:val="000000" w:themeColor="text1"/>
        </w:rPr>
      </w:pPr>
      <w:r>
        <w:t xml:space="preserve">A </w:t>
      </w:r>
      <w:r w:rsidR="00380305" w:rsidRPr="00380305">
        <w:t>“</w:t>
      </w:r>
      <w:r>
        <w:rPr>
          <w:b/>
          <w:color w:val="00188F"/>
        </w:rPr>
        <w:t>Percentagem de Período de Disponibilidade</w:t>
      </w:r>
      <w:r w:rsidR="00380305" w:rsidRPr="00380305">
        <w:t>”</w:t>
      </w:r>
      <w:r>
        <w:t xml:space="preserve"> </w:t>
      </w:r>
      <w:r>
        <w:rPr>
          <w:color w:val="000000" w:themeColor="text1"/>
        </w:rPr>
        <w:t>para o Azure Defender de um determinado Nó Protegido num determinado Período Aplicável é</w:t>
      </w:r>
      <w:r w:rsidR="00C55C00">
        <w:rPr>
          <w:color w:val="000000" w:themeColor="text1"/>
        </w:rPr>
        <w:t> </w:t>
      </w:r>
      <w:r>
        <w:rPr>
          <w:color w:val="000000" w:themeColor="text1"/>
        </w:rPr>
        <w:t>calculada como o Máximo de Minutos Disponíveis menos o Período de Indisponibilidade, dividido pelo Máximo de Minutos Disponíveis.</w:t>
      </w:r>
    </w:p>
    <w:p w14:paraId="594AC40F" w14:textId="19720EB4" w:rsidR="00DE24F0" w:rsidRDefault="00DE24F0" w:rsidP="00F01ED6">
      <w:pPr>
        <w:pStyle w:val="ProductList-Body"/>
        <w:keepNext/>
        <w:keepLines/>
      </w:pPr>
      <w:r>
        <w:t>A Percentagem de Período de Disponibilidade é calculada através da seguinte fórmula:</w:t>
      </w:r>
    </w:p>
    <w:p w14:paraId="245049EB" w14:textId="77777777" w:rsidR="00DE24F0" w:rsidRPr="00EF7CF9" w:rsidRDefault="00DE24F0" w:rsidP="00F01ED6">
      <w:pPr>
        <w:pStyle w:val="ProductList-Body"/>
        <w:keepNext/>
        <w:keepLines/>
      </w:pPr>
    </w:p>
    <w:p w14:paraId="37308760" w14:textId="463494DE" w:rsidR="00DE24F0" w:rsidRPr="00EF7CF9" w:rsidRDefault="00000000" w:rsidP="00F01ED6">
      <w:pPr>
        <w:pStyle w:val="ListParagraph"/>
        <w:keepNext/>
        <w:keepLines/>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BC640E5" w14:textId="77777777" w:rsidR="00DE24F0" w:rsidRPr="003C461E" w:rsidRDefault="00DE24F0" w:rsidP="00F01ED6">
      <w:pPr>
        <w:pStyle w:val="ProductList-Body"/>
        <w:rPr>
          <w:b/>
          <w:color w:val="00188F"/>
        </w:rPr>
      </w:pPr>
      <w:r>
        <w:rPr>
          <w:b/>
          <w:color w:val="00188F"/>
        </w:rPr>
        <w:t>Os seguintes Níveis de Serviço e Créditos de Serviço são aplicáveis à utilização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8F65282" w14:textId="77777777" w:rsidR="00DE24F0" w:rsidRPr="00EF7CF9" w:rsidRDefault="00DE24F0" w:rsidP="00F01ED6">
            <w:pPr>
              <w:pStyle w:val="ProductList-OfferingBody"/>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F01ED6">
            <w:pPr>
              <w:pStyle w:val="ProductList-OfferingBody"/>
              <w:jc w:val="center"/>
            </w:pPr>
            <w:r>
              <w:t>&lt; 99,9%</w:t>
            </w:r>
          </w:p>
        </w:tc>
        <w:tc>
          <w:tcPr>
            <w:tcW w:w="5400" w:type="dxa"/>
          </w:tcPr>
          <w:p w14:paraId="699EF4EF" w14:textId="77777777" w:rsidR="00DE24F0" w:rsidRPr="00EF7CF9" w:rsidRDefault="00DE24F0" w:rsidP="00F01ED6">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F01ED6">
            <w:pPr>
              <w:pStyle w:val="ProductList-OfferingBody"/>
              <w:jc w:val="center"/>
            </w:pPr>
            <w:r>
              <w:t>&lt; 99%</w:t>
            </w:r>
          </w:p>
        </w:tc>
        <w:tc>
          <w:tcPr>
            <w:tcW w:w="5400" w:type="dxa"/>
          </w:tcPr>
          <w:p w14:paraId="4F2000CD" w14:textId="77777777" w:rsidR="00DE24F0" w:rsidRPr="00EF7CF9" w:rsidRDefault="00DE24F0" w:rsidP="00F01ED6">
            <w:pPr>
              <w:pStyle w:val="ProductList-OfferingBody"/>
              <w:jc w:val="center"/>
            </w:pPr>
            <w:r>
              <w:t>25%</w:t>
            </w:r>
          </w:p>
        </w:tc>
      </w:tr>
    </w:tbl>
    <w:p w14:paraId="6DE916E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1EE902" w14:textId="77777777" w:rsidR="00781010" w:rsidRPr="00781010" w:rsidRDefault="00781010" w:rsidP="00F01ED6">
      <w:pPr>
        <w:pStyle w:val="ProductList-Offering2Heading"/>
        <w:keepNext/>
        <w:tabs>
          <w:tab w:val="clear" w:pos="360"/>
          <w:tab w:val="clear" w:pos="720"/>
          <w:tab w:val="clear" w:pos="1080"/>
        </w:tabs>
        <w:outlineLvl w:val="2"/>
      </w:pPr>
      <w:bookmarkStart w:id="216" w:name="_Toc182409656"/>
      <w:r>
        <w:t>Defender External Attack Surface Management</w:t>
      </w:r>
      <w:bookmarkEnd w:id="216"/>
    </w:p>
    <w:p w14:paraId="20DDC606" w14:textId="77777777" w:rsidR="00781010" w:rsidRPr="00781010" w:rsidRDefault="00781010" w:rsidP="00F01ED6">
      <w:pPr>
        <w:pStyle w:val="ProductList-Body"/>
        <w:rPr>
          <w:b/>
          <w:bCs/>
          <w:color w:val="00188F"/>
        </w:rPr>
      </w:pPr>
      <w:r>
        <w:rPr>
          <w:b/>
          <w:bCs/>
          <w:color w:val="00188F"/>
        </w:rPr>
        <w:t>Definições Adicionais</w:t>
      </w:r>
    </w:p>
    <w:p w14:paraId="770294EA" w14:textId="59B17EC1" w:rsidR="00781010" w:rsidRDefault="00380305" w:rsidP="00F01ED6">
      <w:pPr>
        <w:pStyle w:val="ProductList-Body"/>
      </w:pPr>
      <w:r>
        <w:t>“</w:t>
      </w:r>
      <w:r w:rsidR="00781010">
        <w:rPr>
          <w:b/>
          <w:bCs/>
          <w:color w:val="00188F"/>
        </w:rPr>
        <w:t>Máximo de Minutos Disponíveis</w:t>
      </w:r>
      <w:r>
        <w:t>”</w:t>
      </w:r>
      <w:r w:rsidR="00781010">
        <w:t xml:space="preserve"> é o número total de minutos durante os quais um determinado recurso Defender EASM foi implementado pelo Cliente numa subscrição do Microsoft Azure durante um Período Aplicável.</w:t>
      </w:r>
    </w:p>
    <w:p w14:paraId="61FF4E80" w14:textId="11F7618E" w:rsidR="00781010" w:rsidRDefault="00380305" w:rsidP="00F01ED6">
      <w:pPr>
        <w:pStyle w:val="ProductList-Body"/>
      </w:pPr>
      <w:r>
        <w:t>“</w:t>
      </w:r>
      <w:r w:rsidR="00781010">
        <w:rPr>
          <w:b/>
          <w:bCs/>
          <w:color w:val="00188F"/>
        </w:rPr>
        <w:t>Período de Indisponibilidade</w:t>
      </w:r>
      <w:r>
        <w:t>”</w:t>
      </w:r>
      <w:r w:rsidR="00781010">
        <w:t xml:space="preserve"> é o número total de minutos dentro do Máximo de Minutos Disponíveis, durante os quais um recurso Defender EASM está indisponível. Um minuto será considerado indisponível para um determinado recurso Defender EASM se durante esse minuto não se registar qualquer operação de HTTP que devolva um Código de Sucesso.</w:t>
      </w:r>
    </w:p>
    <w:p w14:paraId="5A74F90E" w14:textId="390FE8F7" w:rsidR="00781010" w:rsidRDefault="00781010" w:rsidP="00F01ED6">
      <w:pPr>
        <w:pStyle w:val="ProductList-Body"/>
      </w:pPr>
      <w:r>
        <w:t xml:space="preserve">A </w:t>
      </w:r>
      <w:r w:rsidR="00380305">
        <w:t>“</w:t>
      </w:r>
      <w:r>
        <w:rPr>
          <w:b/>
          <w:bCs/>
          <w:color w:val="00188F"/>
        </w:rPr>
        <w:t>Percentagem de Disponibilidade para Consulta</w:t>
      </w:r>
      <w:r w:rsidR="00380305">
        <w:t>”</w:t>
      </w:r>
      <w:r>
        <w:t xml:space="preserve"> de um determinado recurso Defender EASM é calculada como o Máximo de Minutos Disponíveis menos o Período de Indisponibilidade, a dividir pelo Máximo de Minutos Disponíveis a multiplicar por 100.</w:t>
      </w:r>
    </w:p>
    <w:p w14:paraId="538C7A5C" w14:textId="08BF57FD" w:rsidR="00781010" w:rsidRDefault="00781010" w:rsidP="00F01ED6">
      <w:pPr>
        <w:pStyle w:val="ProductList-Body"/>
      </w:pPr>
      <w:r>
        <w:t>A Percentagem de Disponibilidade para Consulta é calculada utilizando a seguinte fórmula:</w:t>
      </w:r>
    </w:p>
    <w:p w14:paraId="57FD6F59" w14:textId="77777777" w:rsidR="00781010" w:rsidRPr="00EF7CF9" w:rsidRDefault="00781010" w:rsidP="00F01ED6">
      <w:pPr>
        <w:pStyle w:val="ProductList-Body"/>
      </w:pPr>
    </w:p>
    <w:p w14:paraId="30A59169" w14:textId="248E6986" w:rsidR="00781010"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A0ED6A0" w14:textId="77777777" w:rsidR="00781010" w:rsidRDefault="00781010" w:rsidP="00EC7E96">
      <w:pPr>
        <w:pStyle w:val="ProductList-Body"/>
        <w:keepNext/>
        <w:keepLines/>
      </w:pPr>
      <w:r>
        <w:t>Os seguintes Níveis de Serviço e Créditos de Serviço são aplicáveis à utilização do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EC7E96">
            <w:pPr>
              <w:pStyle w:val="ProductList-OfferingBody"/>
              <w:keepNext/>
              <w:keepLines/>
              <w:jc w:val="center"/>
              <w:rPr>
                <w:color w:val="FFFFFF" w:themeColor="background1"/>
              </w:rPr>
            </w:pPr>
            <w:r>
              <w:rPr>
                <w:color w:val="FFFFFF" w:themeColor="background1"/>
              </w:rPr>
              <w:t>Percentagem de Disponibilidade para Consulta</w:t>
            </w:r>
          </w:p>
        </w:tc>
        <w:tc>
          <w:tcPr>
            <w:tcW w:w="5400" w:type="dxa"/>
            <w:shd w:val="clear" w:color="auto" w:fill="0072C6"/>
          </w:tcPr>
          <w:p w14:paraId="18CAA572" w14:textId="77777777" w:rsidR="00781010" w:rsidRPr="00EF7CF9" w:rsidRDefault="00781010" w:rsidP="00EC7E96">
            <w:pPr>
              <w:pStyle w:val="ProductList-OfferingBody"/>
              <w:keepNext/>
              <w:keepLines/>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EC7E96">
            <w:pPr>
              <w:pStyle w:val="ProductList-OfferingBody"/>
              <w:keepNext/>
              <w:keepLines/>
              <w:jc w:val="center"/>
            </w:pPr>
            <w:r>
              <w:t>&lt; 99,9%</w:t>
            </w:r>
          </w:p>
        </w:tc>
        <w:tc>
          <w:tcPr>
            <w:tcW w:w="5400" w:type="dxa"/>
          </w:tcPr>
          <w:p w14:paraId="6090A89D" w14:textId="77777777" w:rsidR="00781010" w:rsidRPr="00EF7CF9" w:rsidRDefault="00781010" w:rsidP="00EC7E96">
            <w:pPr>
              <w:pStyle w:val="ProductList-OfferingBody"/>
              <w:keepNext/>
              <w:keepLines/>
              <w:jc w:val="center"/>
            </w:pPr>
            <w:r>
              <w:t>10%</w:t>
            </w:r>
          </w:p>
        </w:tc>
      </w:tr>
      <w:tr w:rsidR="00781010" w:rsidRPr="00B44CF9" w14:paraId="60F211CD" w14:textId="77777777" w:rsidTr="00277097">
        <w:tc>
          <w:tcPr>
            <w:tcW w:w="5400" w:type="dxa"/>
          </w:tcPr>
          <w:p w14:paraId="583A91C1" w14:textId="77777777" w:rsidR="00781010" w:rsidRPr="00EF7CF9" w:rsidRDefault="00781010" w:rsidP="00EC7E96">
            <w:pPr>
              <w:pStyle w:val="ProductList-OfferingBody"/>
              <w:keepNext/>
              <w:keepLines/>
              <w:jc w:val="center"/>
            </w:pPr>
            <w:r>
              <w:t>&lt; 99%</w:t>
            </w:r>
          </w:p>
        </w:tc>
        <w:tc>
          <w:tcPr>
            <w:tcW w:w="5400" w:type="dxa"/>
          </w:tcPr>
          <w:p w14:paraId="59F68250" w14:textId="77777777" w:rsidR="00781010" w:rsidRPr="00EF7CF9" w:rsidRDefault="00781010" w:rsidP="00EC7E96">
            <w:pPr>
              <w:pStyle w:val="ProductList-OfferingBody"/>
              <w:keepNext/>
              <w:keepLines/>
              <w:jc w:val="center"/>
            </w:pPr>
            <w:r>
              <w:t>25%</w:t>
            </w:r>
          </w:p>
        </w:tc>
      </w:tr>
    </w:tbl>
    <w:bookmarkStart w:id="217" w:name="_Toc524384537"/>
    <w:bookmarkStart w:id="218" w:name="_Toc52348999"/>
    <w:p w14:paraId="3099F3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3EC33DC" w14:textId="77777777" w:rsidR="00C66B25" w:rsidRPr="00EA5FB1" w:rsidRDefault="00C66B25" w:rsidP="00F01ED6">
      <w:pPr>
        <w:pStyle w:val="ProductList-Offering2Heading"/>
        <w:keepNext/>
        <w:tabs>
          <w:tab w:val="clear" w:pos="360"/>
          <w:tab w:val="clear" w:pos="720"/>
          <w:tab w:val="clear" w:pos="1080"/>
        </w:tabs>
        <w:outlineLvl w:val="2"/>
        <w:rPr>
          <w:lang w:val="fr-FR"/>
        </w:rPr>
      </w:pPr>
      <w:bookmarkStart w:id="219" w:name="_Toc182409657"/>
      <w:r>
        <w:t>Azure Dev Ops</w:t>
      </w:r>
      <w:bookmarkEnd w:id="217"/>
      <w:bookmarkEnd w:id="218"/>
      <w:bookmarkEnd w:id="219"/>
    </w:p>
    <w:p w14:paraId="578E5FA7" w14:textId="77777777" w:rsidR="00C66B25" w:rsidRPr="00EF7CF9" w:rsidRDefault="00C66B25" w:rsidP="00F01ED6">
      <w:pPr>
        <w:pStyle w:val="ProductList-Body"/>
        <w:rPr>
          <w:b/>
          <w:color w:val="00188F"/>
        </w:rPr>
      </w:pPr>
      <w:r>
        <w:rPr>
          <w:b/>
          <w:color w:val="00188F"/>
        </w:rPr>
        <w:t>Definições Adicionais</w:t>
      </w:r>
      <w:r w:rsidRPr="00473DD3">
        <w:rPr>
          <w:b/>
          <w:color w:val="00188F"/>
        </w:rPr>
        <w:t>:</w:t>
      </w:r>
    </w:p>
    <w:p w14:paraId="0BF8769E" w14:textId="12513CE0" w:rsidR="00C66B25" w:rsidRPr="00E80B8A" w:rsidRDefault="00380305" w:rsidP="00F01ED6">
      <w:pPr>
        <w:pStyle w:val="ProductList-Body"/>
        <w:spacing w:after="40"/>
        <w:jc w:val="both"/>
        <w:rPr>
          <w:spacing w:val="-2"/>
        </w:rPr>
      </w:pPr>
      <w:r>
        <w:rPr>
          <w:spacing w:val="-2"/>
        </w:rPr>
        <w:t>“</w:t>
      </w:r>
      <w:r w:rsidR="00C66B25" w:rsidRPr="00E80B8A">
        <w:rPr>
          <w:b/>
          <w:color w:val="00188F"/>
          <w:spacing w:val="-2"/>
        </w:rPr>
        <w:t>Pipelines do Azure</w:t>
      </w:r>
      <w:r>
        <w:rPr>
          <w:spacing w:val="-2"/>
        </w:rPr>
        <w:t>”</w:t>
      </w:r>
      <w:r w:rsidR="00C66B25" w:rsidRPr="00E80B8A">
        <w:rPr>
          <w:spacing w:val="-2"/>
        </w:rPr>
        <w:t xml:space="preserve"> é uma funcionalidade que permite aos clientes desenvolver e implementar as respetivas aplicações nos Serviços do Azure DevOps.</w:t>
      </w:r>
    </w:p>
    <w:p w14:paraId="55EB42EB" w14:textId="0DE51704" w:rsidR="00C66B25" w:rsidRDefault="00380305" w:rsidP="00F01ED6">
      <w:pPr>
        <w:pStyle w:val="ProductList-Body"/>
      </w:pPr>
      <w:r>
        <w:t>“</w:t>
      </w:r>
      <w:r w:rsidR="00C66B25">
        <w:rPr>
          <w:b/>
          <w:color w:val="00188F"/>
        </w:rPr>
        <w:t>Extensões Baseadas no Utilizador</w:t>
      </w:r>
      <w:r>
        <w:t>”</w:t>
      </w:r>
      <w:r w:rsidR="00C66B25">
        <w:t xml:space="preserve"> designa o conjunto de extensões dos Serviços do Azure DevOps publicadas pela Microsoft que são vendidas por utilizador através do Azure DevOps Marketplace.</w:t>
      </w:r>
    </w:p>
    <w:p w14:paraId="3D732210" w14:textId="3EA0F40B" w:rsidR="00C66B25" w:rsidRDefault="00380305" w:rsidP="00F01ED6">
      <w:pPr>
        <w:pStyle w:val="ProductList-Body"/>
      </w:pPr>
      <w:r>
        <w:t>“</w:t>
      </w:r>
      <w:r w:rsidR="00C66B25">
        <w:rPr>
          <w:b/>
          <w:color w:val="00188F"/>
        </w:rPr>
        <w:t>Utilizadores dos Serviços do Azure DevOps</w:t>
      </w:r>
      <w:r>
        <w:t>”</w:t>
      </w:r>
      <w:r w:rsidR="00C66B25">
        <w:t xml:space="preserve"> designa o conjunto de funções e funcionalidades à disposição de um utilizador numa conta de Serviços do Azure DevOps numa subscrição do Cliente. As funcionalidades e funções disponíveis são descritas no Web site do </w:t>
      </w:r>
      <w:r w:rsidR="00C66B25">
        <w:rPr>
          <w:rStyle w:val="Hyperlink"/>
        </w:rPr>
        <w:t>Azure DevOps</w:t>
      </w:r>
      <w:r w:rsidR="00C66B25">
        <w:t>.</w:t>
      </w:r>
    </w:p>
    <w:p w14:paraId="04EEA0D9" w14:textId="08B9315C" w:rsidR="00C66B25" w:rsidRPr="00ED4527" w:rsidRDefault="00EE6E3C" w:rsidP="00F01ED6">
      <w:pPr>
        <w:pStyle w:val="ProductList-Body"/>
        <w:spacing w:before="120"/>
        <w:rPr>
          <w:b/>
          <w:bCs/>
          <w:color w:val="00188F"/>
        </w:rPr>
      </w:pPr>
      <w:r>
        <w:rPr>
          <w:b/>
          <w:bCs/>
          <w:color w:val="00188F"/>
        </w:rPr>
        <w:t>Cálculo do Período de Disponibilidade e Níveis de Serviço para os Utilizadores e as Extensões Baseadas no Utilizador do Azure DevOps Services</w:t>
      </w:r>
    </w:p>
    <w:p w14:paraId="519D60EC" w14:textId="4BA8BCB2" w:rsidR="00C66B25" w:rsidRDefault="00380305" w:rsidP="00F01ED6">
      <w:pPr>
        <w:pStyle w:val="ProductList-Body"/>
      </w:pPr>
      <w:r>
        <w:t>“</w:t>
      </w:r>
      <w:r w:rsidR="00C66B25">
        <w:rPr>
          <w:b/>
          <w:color w:val="00188F"/>
        </w:rPr>
        <w:t>Minutos de Implementação</w:t>
      </w:r>
      <w:r>
        <w:t>”</w:t>
      </w:r>
      <w:r w:rsidR="00C66B25">
        <w:t xml:space="preserve"> designa o número total de minutos para os quais foi adquirida uma Extensão Baseada no Utilizador ou Utilizadores durante um Período Aplicável.</w:t>
      </w:r>
    </w:p>
    <w:p w14:paraId="1D9C3180" w14:textId="41E66E66" w:rsidR="00C66B25" w:rsidRPr="00EF7CF9" w:rsidRDefault="00380305" w:rsidP="00F01ED6">
      <w:pPr>
        <w:pStyle w:val="ProductList-Body"/>
      </w:pPr>
      <w:r>
        <w:t>“</w:t>
      </w:r>
      <w:r w:rsidR="00C66B25">
        <w:rPr>
          <w:b/>
          <w:color w:val="00188F"/>
        </w:rPr>
        <w:t>Máximo de Minutos Disponíveis</w:t>
      </w:r>
      <w:r>
        <w:t>”</w:t>
      </w:r>
      <w:r w:rsidR="00C66B25">
        <w:t xml:space="preserve"> designa todos os Minutos de Implementação em todas as Extensões Baseadas no Utilizador ou Utilizadores para</w:t>
      </w:r>
      <w:r w:rsidR="00896A38">
        <w:t> </w:t>
      </w:r>
      <w:r w:rsidR="00C66B25">
        <w:t>uma determinada subscrição do Microsoft Azure durante um Período Aplicável.</w:t>
      </w:r>
    </w:p>
    <w:p w14:paraId="0C23C755" w14:textId="0E7C530D" w:rsidR="00C66B25" w:rsidRPr="00EF7CF9" w:rsidRDefault="00380305" w:rsidP="00F01ED6">
      <w:pPr>
        <w:pStyle w:val="ProductList-Body"/>
      </w:pPr>
      <w:r>
        <w:t>“</w:t>
      </w:r>
      <w:r w:rsidR="00C66B25">
        <w:rPr>
          <w:b/>
          <w:color w:val="00188F"/>
        </w:rPr>
        <w:t>Período de Indisponibilidade</w:t>
      </w:r>
      <w:r>
        <w:t>”</w:t>
      </w:r>
      <w:r w:rsidR="00C66B25">
        <w:t xml:space="preserve"> designa o total de Minutos de Implementação, em todas as Extensões Baseadas no Utilizador ou Utilizadores para</w:t>
      </w:r>
      <w:r w:rsidR="00896A38">
        <w:t> </w:t>
      </w:r>
      <w:r w:rsidR="00C66B25">
        <w:t>determinada subscrição do Microsoft Azure, durante a qual o Serviço está indisponível. Um minuto é considerado indisponível para uma determinada Extensão Baseada no Utilizador ou Utilizadores se todos os pedidos de HTTP contínuos para executar operações, que não sejam operações pertencentes ao Azure Pipelines Services nesse minuto resultarem num Código de Erro ou se não devolverem uma resposta.</w:t>
      </w:r>
    </w:p>
    <w:p w14:paraId="53A2B476" w14:textId="11292FC1" w:rsidR="00C66B25" w:rsidRDefault="00AC48A7" w:rsidP="00F01ED6">
      <w:pPr>
        <w:pStyle w:val="ProductList-Body"/>
      </w:pPr>
      <w:r>
        <w:rPr>
          <w:b/>
          <w:color w:val="00188F"/>
        </w:rPr>
        <w:t>Percentagem de Período de Disponibilidade</w:t>
      </w:r>
      <w:r w:rsidRPr="00473DD3">
        <w:rPr>
          <w:b/>
          <w:color w:val="00188F"/>
        </w:rPr>
        <w:t>:</w:t>
      </w:r>
      <w:r>
        <w:t xml:space="preserve"> para as Extensões Baseadas no Utilizador ou Utilizadores do Azure DevOps Services é calculada como</w:t>
      </w:r>
      <w:r w:rsidR="00896A38">
        <w:t> </w:t>
      </w:r>
      <w:r>
        <w:t>o Máximo de Minutos Disponíveis menos o Período de Indisponibilidade a dividir pelo Máximo de Minutos Disponíveis num Período Aplicável</w:t>
      </w:r>
      <w:r w:rsidR="00896A38">
        <w:t> </w:t>
      </w:r>
      <w:r>
        <w:t>para uma determinada subscrição do Microsoft Azure.</w:t>
      </w:r>
    </w:p>
    <w:p w14:paraId="23F1EFA1" w14:textId="48F4EC62" w:rsidR="00C66B25" w:rsidRPr="00EF7CF9" w:rsidRDefault="00AC48A7" w:rsidP="00F01ED6">
      <w:pPr>
        <w:pStyle w:val="ProductList-Body"/>
      </w:pPr>
      <w:r>
        <w:t>A Percentagem de Período de Disponibilidade é representada pela seguinte fórmula:</w:t>
      </w:r>
    </w:p>
    <w:p w14:paraId="1382C863" w14:textId="77777777" w:rsidR="00C66B25" w:rsidRPr="00EF7CF9" w:rsidRDefault="00C66B25" w:rsidP="00F01ED6">
      <w:pPr>
        <w:pStyle w:val="ProductList-Body"/>
      </w:pPr>
    </w:p>
    <w:p w14:paraId="1B4E29BA" w14:textId="644198A9"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A37B0C" w14:textId="77777777" w:rsidR="00C66B25" w:rsidRDefault="00C66B25" w:rsidP="00F01ED6">
      <w:pPr>
        <w:pStyle w:val="ProductList-Body"/>
        <w:rPr>
          <w:rFonts w:eastAsiaTheme="minorEastAsia"/>
          <w:szCs w:val="18"/>
          <w:lang w:eastAsia="zh-TW"/>
        </w:rPr>
      </w:pPr>
      <w:r>
        <w:rPr>
          <w:rFonts w:eastAsiaTheme="minorEastAsia"/>
          <w:szCs w:val="18"/>
        </w:rPr>
        <w:t xml:space="preserve">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 Serviço Pipelines do Azure. </w:t>
      </w:r>
    </w:p>
    <w:p w14:paraId="3AB430DC" w14:textId="77777777" w:rsidR="00C66B25" w:rsidRPr="00A81A1C" w:rsidRDefault="00C66B25" w:rsidP="00F01ED6">
      <w:pPr>
        <w:pStyle w:val="ProductList-Body"/>
        <w:rPr>
          <w:b/>
          <w:color w:val="00188F"/>
          <w:sz w:val="12"/>
          <w:szCs w:val="12"/>
        </w:rPr>
      </w:pPr>
    </w:p>
    <w:p w14:paraId="2DC335EC" w14:textId="77777777" w:rsidR="00C66B25" w:rsidRPr="00EF7CF9" w:rsidRDefault="00C66B2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3BB7CB41" w14:textId="77777777" w:rsidR="00C66B25" w:rsidRPr="00EF7CF9" w:rsidRDefault="00C66B25" w:rsidP="00F01ED6">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F01ED6">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F01ED6">
            <w:pPr>
              <w:pStyle w:val="ProductList-OfferingBody"/>
              <w:keepNext/>
              <w:jc w:val="center"/>
            </w:pPr>
            <w:r>
              <w:t>25%</w:t>
            </w:r>
          </w:p>
        </w:tc>
      </w:tr>
    </w:tbl>
    <w:p w14:paraId="383C6DD9" w14:textId="3B1BB4D9" w:rsidR="00C66B25" w:rsidRPr="00ED4527" w:rsidRDefault="00EE6E3C" w:rsidP="00AE3327">
      <w:pPr>
        <w:pStyle w:val="ProductList-Body"/>
        <w:tabs>
          <w:tab w:val="clear" w:pos="360"/>
          <w:tab w:val="clear" w:pos="720"/>
          <w:tab w:val="clear" w:pos="1080"/>
        </w:tabs>
        <w:spacing w:before="120"/>
        <w:rPr>
          <w:b/>
          <w:bCs/>
          <w:color w:val="00188F"/>
        </w:rPr>
      </w:pPr>
      <w:bookmarkStart w:id="220" w:name="_Toc457821589"/>
      <w:bookmarkStart w:id="221" w:name="_Toc526859726"/>
      <w:bookmarkStart w:id="222" w:name="_Toc524384538"/>
      <w:bookmarkStart w:id="223" w:name="VisualStudioTeamServices_LoadTestService"/>
      <w:r>
        <w:rPr>
          <w:b/>
          <w:bCs/>
          <w:color w:val="00188F"/>
        </w:rPr>
        <w:t>Cálculo do Período de Disponibilidade e Níveis de Serviço para o Azure Pipelines</w:t>
      </w:r>
    </w:p>
    <w:p w14:paraId="014EED69" w14:textId="66CBE1CE" w:rsidR="00C66B25" w:rsidRPr="00ED4527" w:rsidRDefault="00380305" w:rsidP="00F01ED6">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designa o número total de minutos para os quais o Azure Pipelines Service pago foi ativado numa determinada subscrição do Microsoft Azure durante um Período Aplicável.</w:t>
      </w:r>
    </w:p>
    <w:p w14:paraId="4BF684E0" w14:textId="388FABFB" w:rsidR="00C66B25" w:rsidRPr="00ED4527" w:rsidRDefault="00380305" w:rsidP="00F01ED6">
      <w:pPr>
        <w:pStyle w:val="ProductList-Body"/>
        <w:rPr>
          <w:color w:val="000000" w:themeColor="text1"/>
        </w:rPr>
      </w:pPr>
      <w:r>
        <w:rPr>
          <w:color w:val="000000" w:themeColor="text1"/>
        </w:rPr>
        <w:t>“</w:t>
      </w:r>
      <w:r w:rsidR="00C66B25">
        <w:rPr>
          <w:b/>
          <w:bCs/>
          <w:color w:val="00188F"/>
        </w:rPr>
        <w:t>Período de Indisponibilidade</w:t>
      </w:r>
      <w:r>
        <w:rPr>
          <w:color w:val="000000" w:themeColor="text1"/>
        </w:rPr>
        <w:t>”</w:t>
      </w:r>
      <w:r w:rsidR="00C66B25">
        <w:rPr>
          <w:color w:val="000000" w:themeColor="text1"/>
        </w:rPr>
        <w:t xml:space="preserve"> designa o total de minutos acumulados numa determinada subscrição do Microsoft Azure, no qual o Azure Pipelines Service está indisponível. Um minuto é considerado indisponível se todos os pedidos de HTTP contínuos para o Azure Pipelines Service executar operações iniciadas pelo Cliente nesse minuto resultarem num Código de Erro ou se não devolverem uma resposta.</w:t>
      </w:r>
    </w:p>
    <w:p w14:paraId="4B5453E7" w14:textId="2360ABC9" w:rsidR="00C66B25" w:rsidRPr="00E80B8A" w:rsidRDefault="00C66B25" w:rsidP="00F01ED6">
      <w:pPr>
        <w:pStyle w:val="ProductList-Body"/>
        <w:tabs>
          <w:tab w:val="clear" w:pos="360"/>
          <w:tab w:val="clear" w:pos="720"/>
          <w:tab w:val="clear" w:pos="1080"/>
        </w:tabs>
        <w:rPr>
          <w:color w:val="000000" w:themeColor="text1"/>
          <w:spacing w:val="-2"/>
        </w:rPr>
      </w:pPr>
      <w:r w:rsidRPr="00E80B8A">
        <w:rPr>
          <w:spacing w:val="-2"/>
        </w:rPr>
        <w:t xml:space="preserve">A </w:t>
      </w:r>
      <w:r w:rsidR="00380305">
        <w:rPr>
          <w:color w:val="000000" w:themeColor="text1"/>
          <w:spacing w:val="-2"/>
        </w:rPr>
        <w:t>“</w:t>
      </w:r>
      <w:r w:rsidRPr="00E80B8A">
        <w:rPr>
          <w:b/>
          <w:bCs/>
          <w:color w:val="00188F"/>
          <w:spacing w:val="-2"/>
        </w:rPr>
        <w:t>Percentagem de Período de Disponibilidade</w:t>
      </w:r>
      <w:r w:rsidR="00380305">
        <w:rPr>
          <w:color w:val="000000" w:themeColor="text1"/>
          <w:spacing w:val="-2"/>
        </w:rPr>
        <w:t>”</w:t>
      </w:r>
      <w:r w:rsidRPr="00E80B8A">
        <w:rPr>
          <w:color w:val="000000" w:themeColor="text1"/>
          <w:spacing w:val="-2"/>
        </w:rPr>
        <w:t xml:space="preserve"> para o Azure Pipelines Service é calculada como o Máximo de Minutos Disponíveis menos o Período de Indisponibilidade a dividir pelo Máximo de Minutos Disponíveis num Período Aplicável para uma determinada subscrição do Microsoft Azure. </w:t>
      </w:r>
    </w:p>
    <w:p w14:paraId="7D2391A4" w14:textId="55984207" w:rsidR="00C66B25"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589740C7" w14:textId="77777777" w:rsidR="00C66B25" w:rsidRPr="00AE3327" w:rsidRDefault="00C66B25" w:rsidP="00F01ED6">
      <w:pPr>
        <w:pStyle w:val="ProductList-Body"/>
        <w:tabs>
          <w:tab w:val="clear" w:pos="360"/>
          <w:tab w:val="clear" w:pos="720"/>
          <w:tab w:val="clear" w:pos="1080"/>
        </w:tabs>
        <w:rPr>
          <w:color w:val="000000" w:themeColor="text1"/>
          <w:sz w:val="12"/>
          <w:szCs w:val="12"/>
        </w:rPr>
      </w:pPr>
    </w:p>
    <w:p w14:paraId="3D9D0A67" w14:textId="607C58EE"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A4F1C6" w14:textId="77777777" w:rsidR="00C66B25" w:rsidRPr="00EF7CF9" w:rsidRDefault="00C66B25" w:rsidP="00D56684">
      <w:pPr>
        <w:pStyle w:val="ProductList-Body"/>
        <w:keepNext/>
        <w:keepLines/>
      </w:pPr>
      <w:r>
        <w:rPr>
          <w:b/>
          <w:color w:val="00188F"/>
        </w:rPr>
        <w:t>Os seguintes Níveis de Serviço e Créditos de Serviço são aplicáveis à utilização que o Cliente faz do Serviço Pipelines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D56684">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F2CFA2F" w14:textId="77777777" w:rsidR="00C66B25" w:rsidRPr="00EF7CF9" w:rsidRDefault="00C66B25" w:rsidP="00D56684">
            <w:pPr>
              <w:pStyle w:val="ProductList-OfferingBody"/>
              <w:keepNext/>
              <w:keepLines/>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D56684">
            <w:pPr>
              <w:pStyle w:val="ProductList-OfferingBody"/>
              <w:keepNext/>
              <w:keepLines/>
              <w:jc w:val="center"/>
            </w:pPr>
            <w:r>
              <w:t>&lt; 99,9%</w:t>
            </w:r>
          </w:p>
        </w:tc>
        <w:tc>
          <w:tcPr>
            <w:tcW w:w="5400" w:type="dxa"/>
          </w:tcPr>
          <w:p w14:paraId="326AF5F8" w14:textId="77777777" w:rsidR="00C66B25" w:rsidRPr="00EF7CF9" w:rsidRDefault="00C66B25" w:rsidP="00D56684">
            <w:pPr>
              <w:pStyle w:val="ProductList-OfferingBody"/>
              <w:keepNext/>
              <w:keepLines/>
              <w:jc w:val="center"/>
            </w:pPr>
            <w:r>
              <w:t>10%</w:t>
            </w:r>
          </w:p>
        </w:tc>
      </w:tr>
      <w:tr w:rsidR="00C66B25" w:rsidRPr="00B44CF9" w14:paraId="755CE143" w14:textId="77777777" w:rsidTr="00277097">
        <w:tc>
          <w:tcPr>
            <w:tcW w:w="5400" w:type="dxa"/>
          </w:tcPr>
          <w:p w14:paraId="3D649C21" w14:textId="77777777" w:rsidR="00C66B25" w:rsidRPr="00EF7CF9" w:rsidRDefault="00C66B25" w:rsidP="00D56684">
            <w:pPr>
              <w:pStyle w:val="ProductList-OfferingBody"/>
              <w:keepNext/>
              <w:keepLines/>
              <w:jc w:val="center"/>
            </w:pPr>
            <w:r>
              <w:t>&lt; 99%</w:t>
            </w:r>
          </w:p>
        </w:tc>
        <w:tc>
          <w:tcPr>
            <w:tcW w:w="5400" w:type="dxa"/>
          </w:tcPr>
          <w:p w14:paraId="57C68158" w14:textId="77777777" w:rsidR="00C66B25" w:rsidRPr="00EF7CF9" w:rsidRDefault="00C66B25" w:rsidP="00D56684">
            <w:pPr>
              <w:pStyle w:val="ProductList-OfferingBody"/>
              <w:keepNext/>
              <w:keepLines/>
              <w:jc w:val="center"/>
            </w:pPr>
            <w:r>
              <w:t>25%</w:t>
            </w:r>
          </w:p>
        </w:tc>
      </w:tr>
    </w:tbl>
    <w:bookmarkEnd w:id="220"/>
    <w:bookmarkEnd w:id="221"/>
    <w:bookmarkEnd w:id="222"/>
    <w:bookmarkEnd w:id="223"/>
    <w:p w14:paraId="1996288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8C1E041" w14:textId="1FD25458" w:rsidR="00DD29AD" w:rsidRPr="00EA5FB1" w:rsidRDefault="000E3C0B" w:rsidP="00F01ED6">
      <w:pPr>
        <w:pStyle w:val="ProductList-Offering2Heading"/>
        <w:keepNext/>
        <w:tabs>
          <w:tab w:val="clear" w:pos="360"/>
          <w:tab w:val="clear" w:pos="720"/>
          <w:tab w:val="clear" w:pos="1080"/>
        </w:tabs>
        <w:outlineLvl w:val="2"/>
        <w:rPr>
          <w:lang w:val="fr-FR"/>
        </w:rPr>
      </w:pPr>
      <w:bookmarkStart w:id="224" w:name="_Toc182409658"/>
      <w:r>
        <w:t>Microsoft Dev Box</w:t>
      </w:r>
      <w:bookmarkEnd w:id="224"/>
    </w:p>
    <w:p w14:paraId="70C5163F" w14:textId="77777777" w:rsidR="00DD29AD" w:rsidRDefault="00DD29AD" w:rsidP="00F01ED6">
      <w:pPr>
        <w:pStyle w:val="ProductList-Body"/>
      </w:pPr>
      <w:r>
        <w:rPr>
          <w:b/>
          <w:color w:val="00188F"/>
        </w:rPr>
        <w:t>Definições Adicionais</w:t>
      </w:r>
      <w:r w:rsidRPr="00473DD3">
        <w:rPr>
          <w:b/>
          <w:color w:val="00188F"/>
        </w:rPr>
        <w:t>:</w:t>
      </w:r>
    </w:p>
    <w:p w14:paraId="26431222" w14:textId="0CD74D1D" w:rsidR="009D7DA3" w:rsidRDefault="00380305" w:rsidP="00F01ED6">
      <w:pPr>
        <w:pStyle w:val="ProductList-Body"/>
      </w:pPr>
      <w:r w:rsidRPr="00380305">
        <w:t>“</w:t>
      </w:r>
      <w:r w:rsidR="009D7DA3">
        <w:rPr>
          <w:b/>
          <w:bCs/>
          <w:color w:val="00188F"/>
        </w:rPr>
        <w:t>Dev Box</w:t>
      </w:r>
      <w:r w:rsidRPr="00380305">
        <w:t>”</w:t>
      </w:r>
      <w:r w:rsidR="009D7DA3">
        <w:rPr>
          <w:b/>
          <w:bCs/>
          <w:color w:val="00188F"/>
        </w:rPr>
        <w:t xml:space="preserve"> </w:t>
      </w:r>
      <w:r w:rsidR="009D7DA3" w:rsidRPr="00380305">
        <w:t xml:space="preserve">designa </w:t>
      </w:r>
      <w:r w:rsidR="009D7DA3">
        <w:t>a instância específica do Microsoft Dev Box.</w:t>
      </w:r>
    </w:p>
    <w:p w14:paraId="5E7314A0" w14:textId="1398EF22" w:rsidR="00AB71EC" w:rsidRDefault="00380305" w:rsidP="00F01ED6">
      <w:pPr>
        <w:pStyle w:val="ProductList-Body"/>
      </w:pPr>
      <w:r w:rsidRPr="00380305">
        <w:t>“</w:t>
      </w:r>
      <w:r w:rsidR="00AB71EC">
        <w:rPr>
          <w:b/>
          <w:bCs/>
          <w:color w:val="00188F"/>
        </w:rPr>
        <w:t>Minutos no Período Aplicável</w:t>
      </w:r>
      <w:r w:rsidRPr="00380305">
        <w:t>”</w:t>
      </w:r>
      <w:r w:rsidR="00AB71EC">
        <w:rPr>
          <w:b/>
          <w:bCs/>
          <w:color w:val="00188F"/>
        </w:rPr>
        <w:t xml:space="preserve"> </w:t>
      </w:r>
      <w:r w:rsidR="00AB71EC" w:rsidRPr="00380305">
        <w:t xml:space="preserve">designa </w:t>
      </w:r>
      <w:r w:rsidR="00AB71EC">
        <w:t>o número total de minutos num determinado Período Aplicável.</w:t>
      </w:r>
    </w:p>
    <w:p w14:paraId="7DB28583" w14:textId="0A9D9C1F" w:rsidR="005923D3" w:rsidRDefault="00380305" w:rsidP="00F01ED6">
      <w:pPr>
        <w:pStyle w:val="ProductList-Body"/>
      </w:pPr>
      <w:r w:rsidRPr="00380305">
        <w:t>“</w:t>
      </w:r>
      <w:r w:rsidR="005923D3">
        <w:rPr>
          <w:b/>
          <w:bCs/>
          <w:color w:val="00188F"/>
        </w:rPr>
        <w:t>Período de Indisponibilidade</w:t>
      </w:r>
      <w:r w:rsidRPr="00380305">
        <w:t>”</w:t>
      </w:r>
      <w:r w:rsidR="005923D3">
        <w:rPr>
          <w:b/>
          <w:bCs/>
          <w:color w:val="00188F"/>
        </w:rPr>
        <w:t xml:space="preserve"> </w:t>
      </w:r>
      <w:r w:rsidR="005923D3" w:rsidRPr="00380305">
        <w:t>é</w:t>
      </w:r>
      <w:r w:rsidR="005923D3">
        <w:t xml:space="preserve"> medido em minutos, o período durante o qual todas as tentativas de ligação por um utilizador específico a um Dev Box específico não tiverem êxito, excluindo qualquer um dos seguintes tipos de falhas:</w:t>
      </w:r>
    </w:p>
    <w:p w14:paraId="44B8E501" w14:textId="77777777" w:rsidR="005923D3" w:rsidRDefault="005923D3" w:rsidP="00F01ED6">
      <w:pPr>
        <w:pStyle w:val="ProductList-Body"/>
        <w:numPr>
          <w:ilvl w:val="0"/>
          <w:numId w:val="36"/>
        </w:numPr>
      </w:pPr>
      <w:r>
        <w:t>As falhas resultantes de o Dev Box estar num estado inoperável não relacionado com a infraestrutura do Azure subjacente (por exemplo, sistema operativo, configuração do sistema operativo ou configuração incorreta ou danificada); e</w:t>
      </w:r>
    </w:p>
    <w:p w14:paraId="04363F4B" w14:textId="77777777" w:rsidR="005923D3" w:rsidRDefault="005923D3" w:rsidP="00F01ED6">
      <w:pPr>
        <w:pStyle w:val="ProductList-Body"/>
        <w:numPr>
          <w:ilvl w:val="0"/>
          <w:numId w:val="36"/>
        </w:numPr>
      </w:pPr>
      <w:r>
        <w:t>Falha resultante de uma aplicação ou outro software instalado no Dev Box.</w:t>
      </w:r>
    </w:p>
    <w:p w14:paraId="1D5AED2E" w14:textId="77777777" w:rsidR="00AB71EC" w:rsidRDefault="00AB71EC" w:rsidP="00F01ED6">
      <w:pPr>
        <w:pStyle w:val="ProductList-Body"/>
      </w:pPr>
    </w:p>
    <w:p w14:paraId="30377E18" w14:textId="16ACAE44" w:rsidR="005273EB" w:rsidRDefault="005273EB" w:rsidP="00F01ED6">
      <w:pPr>
        <w:pStyle w:val="ProductList-Body"/>
      </w:pPr>
      <w:r>
        <w:t xml:space="preserve">A </w:t>
      </w:r>
      <w:r w:rsidR="00380305" w:rsidRPr="00380305">
        <w:t>“</w:t>
      </w:r>
      <w:r>
        <w:rPr>
          <w:b/>
          <w:bCs/>
          <w:color w:val="00188F"/>
        </w:rPr>
        <w:t>Percentagem de Período de Disponibilidade Por Dev Box</w:t>
      </w:r>
      <w:r w:rsidR="00380305">
        <w:t>”</w:t>
      </w:r>
      <w:r>
        <w:t xml:space="preserve"> é calculada ao subtrair de 100% a percentagem de Minutos no Período Aplicável em</w:t>
      </w:r>
      <w:r w:rsidR="00DE29C2">
        <w:t> </w:t>
      </w:r>
      <w:r>
        <w:t>que o Dev Box teve um Período de Indisponibilidade.</w:t>
      </w:r>
    </w:p>
    <w:p w14:paraId="57443AFA" w14:textId="5CD6A634" w:rsidR="005149F7" w:rsidRDefault="005149F7" w:rsidP="00F01ED6">
      <w:pPr>
        <w:pStyle w:val="ProductList-Body"/>
      </w:pPr>
      <w:r>
        <w:t>A Percentagem de Período de Disponibilidade Por Dev Box é calculada através da seguinte fórmula:</w:t>
      </w:r>
    </w:p>
    <w:p w14:paraId="3EF93F85" w14:textId="77777777" w:rsidR="00C91F92" w:rsidRDefault="00C91F92" w:rsidP="00F01ED6">
      <w:pPr>
        <w:pStyle w:val="ProductList-Body"/>
      </w:pPr>
    </w:p>
    <w:p w14:paraId="7B069CB1" w14:textId="6BA2D822" w:rsidR="00C91F92" w:rsidRPr="00F01ED6" w:rsidRDefault="00E80B8A" w:rsidP="00F01ED6">
      <w:pPr>
        <w:spacing w:line="240" w:lineRule="auto"/>
        <w:jc w:val="both"/>
        <w:rPr>
          <w:sz w:val="18"/>
          <w:szCs w:val="18"/>
        </w:rPr>
      </w:pPr>
      <m:oMathPara>
        <m:oMath>
          <m:r>
            <w:rPr>
              <w:rFonts w:ascii="Cambria Math" w:hAnsi="Cambria Math"/>
              <w:sz w:val="18"/>
              <w:szCs w:val="18"/>
            </w:rPr>
            <m:t xml:space="preserve">% </m:t>
          </m:r>
          <m:r>
            <m:rPr>
              <m:nor/>
            </m:rPr>
            <w:rPr>
              <w:rFonts w:ascii="Cambria Math" w:hAnsi="Cambria Math"/>
              <w:i/>
              <w:iCs/>
              <w:sz w:val="18"/>
              <w:szCs w:val="18"/>
            </w:rPr>
            <m:t>de Período de Disponibilidade Por Dev Box</m:t>
          </m:r>
          <m:r>
            <w:rPr>
              <w:rFonts w:ascii="Cambria Math" w:hAnsi="Cambria Math"/>
              <w:sz w:val="18"/>
              <w:szCs w:val="18"/>
            </w:rPr>
            <m:t> =</m:t>
          </m:r>
          <m:f>
            <m:fPr>
              <m:ctrlPr>
                <w:rPr>
                  <w:rFonts w:ascii="Cambria Math" w:hAnsi="Cambria Math"/>
                  <w:sz w:val="18"/>
                  <w:szCs w:val="18"/>
                </w:rPr>
              </m:ctrlPr>
            </m:fPr>
            <m:num>
              <m:r>
                <m:rPr>
                  <m:nor/>
                </m:rPr>
                <w:rPr>
                  <w:rFonts w:ascii="Cambria Math" w:hAnsi="Cambria Math"/>
                  <w:i/>
                  <w:iCs/>
                  <w:sz w:val="18"/>
                  <w:szCs w:val="18"/>
                </w:rPr>
                <m:t>(Minutos no Período Aplicável - Período de Indisponibilidade)</m:t>
              </m:r>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Pr="00E80B8A" w:rsidRDefault="00EE4264" w:rsidP="00F01ED6">
      <w:pPr>
        <w:pStyle w:val="ProductList-Body"/>
        <w:tabs>
          <w:tab w:val="clear" w:pos="360"/>
        </w:tabs>
        <w:rPr>
          <w:spacing w:val="-3"/>
        </w:rPr>
      </w:pPr>
      <w:r w:rsidRPr="00E80B8A">
        <w:rPr>
          <w:b/>
          <w:bCs/>
          <w:color w:val="00188F"/>
          <w:spacing w:val="-3"/>
        </w:rPr>
        <w:t>Crédito de Serviço Por Dev Box</w:t>
      </w:r>
      <w:r w:rsidRPr="00473DD3">
        <w:rPr>
          <w:b/>
          <w:bCs/>
          <w:color w:val="00188F"/>
          <w:spacing w:val="-3"/>
        </w:rPr>
        <w:t>:</w:t>
      </w:r>
      <w:r w:rsidRPr="00E80B8A">
        <w:rPr>
          <w:spacing w:val="-3"/>
        </w:rPr>
        <w:t xml:space="preserve"> Os seguintes Níveis de Serviço e Créditos de Serviço são aplicáveis à utilização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D2226A">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F01ED6">
            <w:pPr>
              <w:pStyle w:val="ProductList-OfferingBody"/>
              <w:jc w:val="center"/>
              <w:rPr>
                <w:color w:val="FFFFFF" w:themeColor="background1"/>
              </w:rPr>
            </w:pPr>
            <w:r>
              <w:rPr>
                <w:color w:val="FFFFFF" w:themeColor="background1"/>
              </w:rPr>
              <w:t>Percentagem de Período de Disponibilidade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F01ED6">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F01ED6">
            <w:pPr>
              <w:pStyle w:val="ProductList-OfferingBody"/>
              <w:jc w:val="center"/>
            </w:pPr>
            <w:r>
              <w:t>10%</w:t>
            </w:r>
          </w:p>
        </w:tc>
      </w:tr>
      <w:tr w:rsidR="00CF7A47" w14:paraId="46F1CA46" w14:textId="77777777" w:rsidTr="00D2226A">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F01ED6">
            <w:pPr>
              <w:pStyle w:val="ProductList-OfferingBody"/>
              <w:keepNext/>
              <w:jc w:val="center"/>
            </w:pPr>
            <w:r>
              <w:t>25%</w:t>
            </w:r>
          </w:p>
        </w:tc>
      </w:tr>
      <w:tr w:rsidR="00CF7A47" w14:paraId="4C10F3EF"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F01ED6">
            <w:pPr>
              <w:pStyle w:val="ProductList-OfferingBody"/>
              <w:keepNext/>
              <w:jc w:val="center"/>
            </w:pPr>
            <w:r>
              <w:t>100%</w:t>
            </w:r>
          </w:p>
        </w:tc>
      </w:tr>
    </w:tbl>
    <w:p w14:paraId="04F4896A" w14:textId="20AA2C2F"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F4D031" w14:textId="512AAD83" w:rsidR="005C061C" w:rsidRPr="005C061C" w:rsidRDefault="005C061C" w:rsidP="00D2226A">
      <w:pPr>
        <w:pStyle w:val="ProductList-Offering2Heading"/>
        <w:keepNext/>
        <w:tabs>
          <w:tab w:val="clear" w:pos="360"/>
          <w:tab w:val="clear" w:pos="720"/>
          <w:tab w:val="clear" w:pos="1080"/>
        </w:tabs>
        <w:outlineLvl w:val="2"/>
        <w:rPr>
          <w:lang w:val="fr-FR"/>
        </w:rPr>
      </w:pPr>
      <w:bookmarkStart w:id="225" w:name="_Toc182409659"/>
      <w:r>
        <w:t>Azure Digital Twins</w:t>
      </w:r>
      <w:bookmarkEnd w:id="225"/>
    </w:p>
    <w:p w14:paraId="13E3D280" w14:textId="77777777" w:rsidR="005C061C" w:rsidRPr="005C061C" w:rsidRDefault="005C061C" w:rsidP="00F01ED6">
      <w:pPr>
        <w:pStyle w:val="ProductList-Body"/>
        <w:keepNext/>
        <w:keepLines/>
        <w:rPr>
          <w:b/>
          <w:bCs/>
          <w:color w:val="00188F"/>
        </w:rPr>
      </w:pPr>
      <w:r>
        <w:rPr>
          <w:b/>
          <w:bCs/>
          <w:color w:val="00188F"/>
        </w:rPr>
        <w:t>Definições Adicionais</w:t>
      </w:r>
    </w:p>
    <w:p w14:paraId="260F4527" w14:textId="1737E9FB" w:rsidR="005C061C" w:rsidRDefault="00380305" w:rsidP="00F01ED6">
      <w:pPr>
        <w:pStyle w:val="ProductList-Body"/>
        <w:keepNext/>
        <w:keepLines/>
      </w:pPr>
      <w:r>
        <w:t>“</w:t>
      </w:r>
      <w:r w:rsidR="005C061C">
        <w:rPr>
          <w:b/>
          <w:bCs/>
          <w:color w:val="00188F"/>
        </w:rPr>
        <w:t>Mensagem</w:t>
      </w:r>
      <w:r>
        <w:t>”</w:t>
      </w:r>
      <w:r w:rsidR="005C061C">
        <w:t xml:space="preserve"> designa qualquer evento enviado por uma instância do Azure Digital Twins implementada num serviço de ponto final, como o Hub de</w:t>
      </w:r>
      <w:r w:rsidR="00F3017D">
        <w:t> </w:t>
      </w:r>
      <w:r w:rsidR="005C061C">
        <w:t>Eventos, a Grelha de Eventos e o Service Bus.</w:t>
      </w:r>
    </w:p>
    <w:p w14:paraId="5926A16D" w14:textId="3864E20D" w:rsidR="005C061C" w:rsidRDefault="00380305" w:rsidP="00F01ED6">
      <w:pPr>
        <w:pStyle w:val="ProductList-Body"/>
        <w:keepNext/>
        <w:keepLines/>
      </w:pPr>
      <w:r>
        <w:t>“</w:t>
      </w:r>
      <w:r w:rsidR="005C061C">
        <w:rPr>
          <w:b/>
          <w:bCs/>
          <w:color w:val="00188F"/>
        </w:rPr>
        <w:t>Operações de API</w:t>
      </w:r>
      <w:r>
        <w:t>”</w:t>
      </w:r>
      <w:r w:rsidR="005C061C">
        <w:t xml:space="preserve"> designa as ações de leitura, escrita, atualização e eliminação, entre outras, executadas em modelos e duplos digitais, incluindo as consultas.</w:t>
      </w:r>
    </w:p>
    <w:p w14:paraId="6CC377C8" w14:textId="585CC3EC" w:rsidR="005C061C" w:rsidRPr="005C061C" w:rsidRDefault="00EE6E3C" w:rsidP="00F01ED6">
      <w:pPr>
        <w:pStyle w:val="ProductList-Body"/>
        <w:spacing w:before="120"/>
        <w:rPr>
          <w:b/>
          <w:bCs/>
          <w:color w:val="00188F"/>
        </w:rPr>
      </w:pPr>
      <w:r>
        <w:rPr>
          <w:b/>
          <w:bCs/>
          <w:color w:val="00188F"/>
        </w:rPr>
        <w:t>Cálculo do Período de Disponibilidade e Níveis de Serviço</w:t>
      </w:r>
    </w:p>
    <w:p w14:paraId="21D71404" w14:textId="1437EB62" w:rsidR="005C061C" w:rsidRDefault="00380305" w:rsidP="00F01ED6">
      <w:pPr>
        <w:pStyle w:val="ProductList-Body"/>
      </w:pPr>
      <w:r>
        <w:t>“</w:t>
      </w:r>
      <w:r w:rsidR="005C061C">
        <w:rPr>
          <w:b/>
          <w:bCs/>
          <w:color w:val="00188F"/>
        </w:rPr>
        <w:t>Minutos de Implementação</w:t>
      </w:r>
      <w:r>
        <w:t>”</w:t>
      </w:r>
      <w:r w:rsidR="005C061C">
        <w:t xml:space="preserve"> designa o número total de minutos durante os quais uma determinada instância do Azure Digital Twins foi implementada no Azure durante um Período Aplicável.</w:t>
      </w:r>
    </w:p>
    <w:p w14:paraId="3359A4D2" w14:textId="7E2D08E6" w:rsidR="005C061C" w:rsidRDefault="00380305" w:rsidP="00F01ED6">
      <w:pPr>
        <w:pStyle w:val="ProductList-Body"/>
      </w:pPr>
      <w:r>
        <w:t>“</w:t>
      </w:r>
      <w:r w:rsidR="005C061C">
        <w:rPr>
          <w:b/>
          <w:bCs/>
          <w:color w:val="00188F"/>
        </w:rPr>
        <w:t>Máximo de Minutos Disponíveis</w:t>
      </w:r>
      <w:r>
        <w:t>”</w:t>
      </w:r>
      <w:r w:rsidR="005C061C">
        <w:t xml:space="preserve"> designa a soma de todos os Minutos de Implementação em todas as instâncias do Azure Digital Twins implementadas pelo Cliente numa determinada subscrição do Azure durante um Período Aplicável.</w:t>
      </w:r>
    </w:p>
    <w:p w14:paraId="65F63DE3" w14:textId="1FE4ACDD" w:rsidR="005C061C" w:rsidRPr="00E80B8A" w:rsidRDefault="00380305" w:rsidP="00F01ED6">
      <w:pPr>
        <w:pStyle w:val="ProductList-Body"/>
        <w:rPr>
          <w:spacing w:val="-2"/>
        </w:rPr>
      </w:pPr>
      <w:r>
        <w:rPr>
          <w:spacing w:val="-2"/>
        </w:rPr>
        <w:t>“</w:t>
      </w:r>
      <w:r w:rsidR="005C061C" w:rsidRPr="00E80B8A">
        <w:rPr>
          <w:b/>
          <w:bCs/>
          <w:color w:val="00188F"/>
          <w:spacing w:val="-2"/>
        </w:rPr>
        <w:t>Período de Indisponibilidade</w:t>
      </w:r>
      <w:r>
        <w:rPr>
          <w:spacing w:val="-2"/>
        </w:rPr>
        <w:t>”</w:t>
      </w:r>
      <w:r w:rsidR="005C061C" w:rsidRPr="00E80B8A">
        <w:rPr>
          <w:spacing w:val="-2"/>
        </w:rPr>
        <w:t xml:space="preserve"> designa o total de Minutos de Implementação acumulados em todos os Azure Digital Twins implementados numa determinada subscrição do Azure durante os quais a instância do Azure Digital Twins está indisponível. Um minuto é considerado indisponível para uma</w:t>
      </w:r>
      <w:r w:rsidR="00836106">
        <w:rPr>
          <w:spacing w:val="-2"/>
        </w:rPr>
        <w:t> </w:t>
      </w:r>
      <w:r w:rsidR="005C061C" w:rsidRPr="00E80B8A">
        <w:rPr>
          <w:spacing w:val="-2"/>
        </w:rPr>
        <w:t>determinada instância do Azure Digital Twins se todas as tentativas contínuas para enviar Mensagens ou executar Operações de API na instância do Azure Digital Twins durante esse minuto devolverem um Código de Erro ou não resultarem num Código de Êxito no prazo de cinco minutos.</w:t>
      </w:r>
    </w:p>
    <w:p w14:paraId="509F5CE6" w14:textId="29734CE1" w:rsidR="005C061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177800C6" w14:textId="77777777" w:rsidR="005C061C" w:rsidRPr="00ED4527" w:rsidRDefault="005C061C" w:rsidP="00F01ED6">
      <w:pPr>
        <w:pStyle w:val="ProductList-Body"/>
        <w:tabs>
          <w:tab w:val="clear" w:pos="360"/>
          <w:tab w:val="clear" w:pos="720"/>
          <w:tab w:val="clear" w:pos="1080"/>
        </w:tabs>
        <w:rPr>
          <w:color w:val="000000" w:themeColor="text1"/>
        </w:rPr>
      </w:pPr>
    </w:p>
    <w:p w14:paraId="71C25E21" w14:textId="0D5376AD" w:rsidR="005C061C"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3A3969" w14:textId="77777777" w:rsidR="005C061C" w:rsidRPr="005C061C" w:rsidRDefault="005C061C" w:rsidP="00844254">
      <w:pPr>
        <w:pStyle w:val="ProductList-Body"/>
        <w:rPr>
          <w:b/>
          <w:bCs/>
          <w:color w:val="00188F"/>
        </w:rPr>
      </w:pPr>
      <w:r>
        <w:rPr>
          <w:b/>
          <w:bCs/>
          <w:color w:val="00188F"/>
        </w:rPr>
        <w:t>Os seguintes Níveis de Serviço e Créditos de Serviço são aplicáveis à utilização dos Azure Digital Twins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F14ACF">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F3B44BC" w14:textId="77777777" w:rsidR="005C061C" w:rsidRPr="00EF7CF9" w:rsidRDefault="005C061C" w:rsidP="00F14ACF">
            <w:pPr>
              <w:pStyle w:val="ProductList-OfferingBody"/>
              <w:keepNext/>
              <w:keepLines/>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F14ACF">
            <w:pPr>
              <w:pStyle w:val="ProductList-OfferingBody"/>
              <w:keepNext/>
              <w:keepLines/>
              <w:jc w:val="center"/>
            </w:pPr>
            <w:r>
              <w:t>&lt; 99,9%</w:t>
            </w:r>
          </w:p>
        </w:tc>
        <w:tc>
          <w:tcPr>
            <w:tcW w:w="5400" w:type="dxa"/>
          </w:tcPr>
          <w:p w14:paraId="180C4714" w14:textId="77777777" w:rsidR="005C061C" w:rsidRPr="00EF7CF9" w:rsidRDefault="005C061C" w:rsidP="00F14ACF">
            <w:pPr>
              <w:pStyle w:val="ProductList-OfferingBody"/>
              <w:keepNext/>
              <w:keepLines/>
              <w:jc w:val="center"/>
            </w:pPr>
            <w:r>
              <w:t>10%</w:t>
            </w:r>
          </w:p>
        </w:tc>
      </w:tr>
      <w:tr w:rsidR="005C061C" w:rsidRPr="00B44CF9" w14:paraId="30A24E7D" w14:textId="77777777" w:rsidTr="00277097">
        <w:tc>
          <w:tcPr>
            <w:tcW w:w="5400" w:type="dxa"/>
          </w:tcPr>
          <w:p w14:paraId="2F3DD4DC" w14:textId="77777777" w:rsidR="005C061C" w:rsidRPr="00EF7CF9" w:rsidRDefault="005C061C" w:rsidP="00F14ACF">
            <w:pPr>
              <w:pStyle w:val="ProductList-OfferingBody"/>
              <w:keepNext/>
              <w:keepLines/>
              <w:jc w:val="center"/>
            </w:pPr>
            <w:r>
              <w:t>&lt; 99%</w:t>
            </w:r>
          </w:p>
        </w:tc>
        <w:tc>
          <w:tcPr>
            <w:tcW w:w="5400" w:type="dxa"/>
          </w:tcPr>
          <w:p w14:paraId="721BD409" w14:textId="77777777" w:rsidR="005C061C" w:rsidRPr="00EF7CF9" w:rsidRDefault="005C061C" w:rsidP="00F14ACF">
            <w:pPr>
              <w:pStyle w:val="ProductList-OfferingBody"/>
              <w:keepNext/>
              <w:keepLines/>
              <w:jc w:val="center"/>
            </w:pPr>
            <w:r>
              <w:t>25%</w:t>
            </w:r>
          </w:p>
        </w:tc>
      </w:tr>
    </w:tbl>
    <w:p w14:paraId="0558C22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2C28851" w14:textId="42544763" w:rsidR="004005AF" w:rsidRPr="00EF7CF9" w:rsidRDefault="004005AF" w:rsidP="00F01ED6">
      <w:pPr>
        <w:pStyle w:val="ProductList-Offering2Heading"/>
        <w:keepNext/>
        <w:tabs>
          <w:tab w:val="clear" w:pos="360"/>
          <w:tab w:val="clear" w:pos="720"/>
          <w:tab w:val="clear" w:pos="1080"/>
        </w:tabs>
        <w:outlineLvl w:val="2"/>
      </w:pPr>
      <w:bookmarkStart w:id="226" w:name="_Toc182409660"/>
      <w:r>
        <w:t>DNS do Azure</w:t>
      </w:r>
      <w:bookmarkEnd w:id="213"/>
      <w:bookmarkEnd w:id="214"/>
      <w:bookmarkEnd w:id="226"/>
    </w:p>
    <w:p w14:paraId="0BF477DA" w14:textId="77777777" w:rsidR="004005AF" w:rsidRPr="00EF7CF9" w:rsidRDefault="004005AF" w:rsidP="00F01ED6">
      <w:pPr>
        <w:pStyle w:val="ProductList-Body"/>
      </w:pPr>
      <w:r>
        <w:rPr>
          <w:b/>
          <w:color w:val="00188F"/>
        </w:rPr>
        <w:t>Definições Adicionais</w:t>
      </w:r>
      <w:r w:rsidRPr="00473DD3">
        <w:rPr>
          <w:b/>
          <w:color w:val="00188F"/>
        </w:rPr>
        <w:t>:</w:t>
      </w:r>
    </w:p>
    <w:p w14:paraId="3CA6934D" w14:textId="4E982F18" w:rsidR="004005AF" w:rsidRPr="009200BE" w:rsidRDefault="00380305" w:rsidP="00F01ED6">
      <w:pPr>
        <w:pStyle w:val="ProductList-Body"/>
      </w:pPr>
      <w:r>
        <w:t>“</w:t>
      </w:r>
      <w:r w:rsidR="004005AF">
        <w:rPr>
          <w:b/>
          <w:color w:val="00188F"/>
        </w:rPr>
        <w:t>Zona DNS</w:t>
      </w:r>
      <w:r>
        <w:t>”</w:t>
      </w:r>
      <w:r w:rsidR="004005AF">
        <w:rPr>
          <w:b/>
          <w:color w:val="00188F"/>
        </w:rPr>
        <w:t xml:space="preserve"> </w:t>
      </w:r>
      <w:r w:rsidR="004005AF">
        <w:t>designa uma implementação do Serviço DNS do Azure que contém uma zona DNS e conjuntos de registos.</w:t>
      </w:r>
    </w:p>
    <w:p w14:paraId="5D6DD826" w14:textId="135F0E9B" w:rsidR="004005AF" w:rsidRPr="009200BE" w:rsidRDefault="00380305" w:rsidP="00F01ED6">
      <w:pPr>
        <w:pStyle w:val="ProductList-Body"/>
      </w:pPr>
      <w:r>
        <w:t>“</w:t>
      </w:r>
      <w:r w:rsidR="004005AF">
        <w:rPr>
          <w:b/>
          <w:color w:val="00188F"/>
        </w:rPr>
        <w:t>Minutos de Implementação</w:t>
      </w:r>
      <w:r>
        <w:t>”</w:t>
      </w:r>
      <w:r w:rsidR="004005AF">
        <w:rPr>
          <w:b/>
          <w:color w:val="00188F"/>
        </w:rPr>
        <w:t xml:space="preserve"> </w:t>
      </w:r>
      <w:r w:rsidR="004005AF">
        <w:t>designa o número total de minutos durante os quais uma determinada Zona DNS foi implementada no Microsoft Azure durante um Período Aplicável.</w:t>
      </w:r>
    </w:p>
    <w:p w14:paraId="5A0A0837" w14:textId="729D1A9E" w:rsidR="004005AF" w:rsidRPr="009200BE"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todas as Zonas DNS implementadas numa determinada subscrição do Microsoft Azure durante um Período Aplicável.</w:t>
      </w:r>
    </w:p>
    <w:p w14:paraId="4DE9FAB9" w14:textId="1F882A19" w:rsidR="004005AF" w:rsidRPr="009200BE" w:rsidRDefault="00380305" w:rsidP="00F01ED6">
      <w:pPr>
        <w:pStyle w:val="ProductList-Body"/>
      </w:pPr>
      <w:r>
        <w:t>“</w:t>
      </w:r>
      <w:r w:rsidR="004005AF">
        <w:rPr>
          <w:b/>
          <w:color w:val="00188F"/>
        </w:rPr>
        <w:t>Pedido de DNS Válido</w:t>
      </w:r>
      <w:r>
        <w:t>”</w:t>
      </w:r>
      <w:r w:rsidR="004005AF">
        <w:rPr>
          <w:b/>
          <w:color w:val="00188F"/>
        </w:rPr>
        <w:t xml:space="preserve"> </w:t>
      </w:r>
      <w:r w:rsidR="004005AF">
        <w:t>designa um pedido de DNS para um servidor de nomes do Serviço DNS do Azure associado a uma Zona DNS para um conjunto de registos correspondentes na Zona DNS.</w:t>
      </w:r>
    </w:p>
    <w:p w14:paraId="244475C2" w14:textId="5D59548C" w:rsidR="004005AF" w:rsidRDefault="00380305" w:rsidP="00F01ED6">
      <w:pPr>
        <w:pStyle w:val="ProductList-Body"/>
      </w:pPr>
      <w:r>
        <w:t>“</w:t>
      </w:r>
      <w:r w:rsidR="004005AF">
        <w:rPr>
          <w:b/>
          <w:color w:val="00188F"/>
        </w:rPr>
        <w:t>Período de Indisponibilidade</w:t>
      </w:r>
      <w:r>
        <w:t>”</w:t>
      </w:r>
      <w:r w:rsidR="004005AF">
        <w:t xml:space="preserve"> designa o total acumulado do Máximo de Minutos Disponíveis durante o qual uma Zona DNS está indisponível. Um</w:t>
      </w:r>
      <w:r w:rsidR="008348E7">
        <w:t> </w:t>
      </w:r>
      <w:r w:rsidR="004005AF">
        <w:t>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D6BFCE9" w14:textId="763FF46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2D2720D" w14:textId="77777777" w:rsidR="004005AF" w:rsidRPr="00EF7CF9" w:rsidRDefault="004005AF" w:rsidP="00F01ED6">
      <w:pPr>
        <w:pStyle w:val="ProductList-Body"/>
      </w:pPr>
    </w:p>
    <w:p w14:paraId="4E6E3CDB" w14:textId="21DD9DE3"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21791E" w14:textId="0AF5CDDE" w:rsidR="004005AF" w:rsidRDefault="004005AF" w:rsidP="00F01ED6">
      <w:pPr>
        <w:pStyle w:val="ProductList-Body"/>
        <w:keepNext/>
        <w:rPr>
          <w:b/>
          <w:color w:val="00188F"/>
        </w:rPr>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6AF1D8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1B1AF048" w:rsidR="004005AF" w:rsidRPr="005A3C16" w:rsidRDefault="004005AF" w:rsidP="00F01ED6">
            <w:pPr>
              <w:pStyle w:val="ProductList-OfferingBody"/>
              <w:jc w:val="center"/>
            </w:pPr>
            <w:r>
              <w:t>&lt;</w:t>
            </w:r>
            <w:r w:rsidR="00F23B07">
              <w:t xml:space="preserve"> </w:t>
            </w:r>
            <w:r>
              <w:t>100</w:t>
            </w:r>
          </w:p>
        </w:tc>
        <w:tc>
          <w:tcPr>
            <w:tcW w:w="5400" w:type="dxa"/>
          </w:tcPr>
          <w:p w14:paraId="4E1D2360" w14:textId="77777777" w:rsidR="004005AF" w:rsidRPr="005A3C16" w:rsidRDefault="004005AF" w:rsidP="00F01ED6">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F01ED6">
            <w:pPr>
              <w:pStyle w:val="ProductList-OfferingBody"/>
              <w:jc w:val="center"/>
            </w:pPr>
            <w:r>
              <w:t>&lt; 99,99%</w:t>
            </w:r>
          </w:p>
        </w:tc>
        <w:tc>
          <w:tcPr>
            <w:tcW w:w="5400" w:type="dxa"/>
          </w:tcPr>
          <w:p w14:paraId="461E93FC" w14:textId="77777777" w:rsidR="004005AF" w:rsidRPr="005A3C16" w:rsidRDefault="004005AF" w:rsidP="00F01ED6">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F01ED6">
            <w:pPr>
              <w:pStyle w:val="ProductList-OfferingBody"/>
              <w:jc w:val="center"/>
            </w:pPr>
            <w:r>
              <w:t>&lt; 99,5%</w:t>
            </w:r>
          </w:p>
        </w:tc>
        <w:tc>
          <w:tcPr>
            <w:tcW w:w="5400" w:type="dxa"/>
          </w:tcPr>
          <w:p w14:paraId="33C407AA" w14:textId="77777777" w:rsidR="004005AF" w:rsidRPr="005A3C16" w:rsidRDefault="004005AF" w:rsidP="00F01ED6">
            <w:pPr>
              <w:pStyle w:val="ProductList-OfferingBody"/>
              <w:jc w:val="center"/>
            </w:pPr>
            <w:r>
              <w:t>100%</w:t>
            </w:r>
          </w:p>
        </w:tc>
      </w:tr>
    </w:tbl>
    <w:bookmarkStart w:id="227" w:name="_Toc505679756"/>
    <w:bookmarkStart w:id="228" w:name="_Toc52348953"/>
    <w:bookmarkStart w:id="229" w:name="_Toc526859658"/>
    <w:bookmarkStart w:id="230" w:name="_Toc52348931"/>
    <w:p w14:paraId="676E5BF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BDD6216" w14:textId="185EA277" w:rsidR="008070B0" w:rsidRPr="00EF7CF9" w:rsidRDefault="008070B0" w:rsidP="008070B0">
      <w:pPr>
        <w:pStyle w:val="ProductList-Offering2Heading"/>
        <w:keepNext/>
        <w:tabs>
          <w:tab w:val="clear" w:pos="360"/>
          <w:tab w:val="clear" w:pos="720"/>
          <w:tab w:val="clear" w:pos="1080"/>
        </w:tabs>
        <w:outlineLvl w:val="2"/>
      </w:pPr>
      <w:bookmarkStart w:id="231" w:name="_Toc182409661"/>
      <w:r>
        <w:t>Azure</w:t>
      </w:r>
      <w:r w:rsidR="000B098B">
        <w:t xml:space="preserve"> DNS Private Resolver</w:t>
      </w:r>
      <w:bookmarkEnd w:id="231"/>
    </w:p>
    <w:p w14:paraId="0708D2A4" w14:textId="77777777" w:rsidR="008070B0" w:rsidRDefault="008070B0" w:rsidP="008070B0">
      <w:pPr>
        <w:pStyle w:val="ProductList-Body"/>
        <w:rPr>
          <w:b/>
          <w:color w:val="00188F"/>
        </w:rPr>
      </w:pPr>
      <w:r>
        <w:rPr>
          <w:b/>
          <w:color w:val="00188F"/>
        </w:rPr>
        <w:t>Definições Adicionais</w:t>
      </w:r>
      <w:r w:rsidRPr="00473DD3">
        <w:rPr>
          <w:b/>
          <w:color w:val="00188F"/>
        </w:rPr>
        <w:t>:</w:t>
      </w:r>
    </w:p>
    <w:p w14:paraId="0B10BD28"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Ponto final do Azure DNS Private Resolver</w:t>
      </w:r>
      <w:r w:rsidRPr="00885319">
        <w:rPr>
          <w:rFonts w:cstheme="minorHAnsi"/>
        </w:rPr>
        <w:t>” designa uma implementação de um ponto final do Azure DNS Private Resolver que fornece resolução de nomes para as consultas DNS recebidas.</w:t>
      </w:r>
    </w:p>
    <w:p w14:paraId="1C354FB2"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Minutos de Implementação</w:t>
      </w:r>
      <w:r w:rsidRPr="00885319">
        <w:rPr>
          <w:rFonts w:cstheme="minorHAnsi"/>
        </w:rPr>
        <w:t>” designa o número total de minutos durante os quais um determinado ponto final foi implementado no Microsoft Azure durante um Período Aplicável.</w:t>
      </w:r>
    </w:p>
    <w:p w14:paraId="443F20ED"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Máximo de Minutos Disponíveis</w:t>
      </w:r>
      <w:r w:rsidRPr="00885319">
        <w:rPr>
          <w:rFonts w:cstheme="minorHAnsi"/>
        </w:rPr>
        <w:t>” é a soma de todos os Minutos de Implementação em todos os pontos finais implementados em cada subscrição do Microsoft Azure durante um Período Aplicável.</w:t>
      </w:r>
    </w:p>
    <w:p w14:paraId="44DF05F4"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Pedido de DNS Válido</w:t>
      </w:r>
      <w:r w:rsidRPr="00885319">
        <w:rPr>
          <w:rFonts w:cstheme="minorHAnsi"/>
        </w:rPr>
        <w:t>” designa um pedido de DNS para um servidor de nomes do Serviço DNS do Azure associado a uma Zona DNS para um conjunto de registos correspondentes na Zona DNS.</w:t>
      </w:r>
    </w:p>
    <w:p w14:paraId="3AF44406"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Período de Indisponibilidade</w:t>
      </w:r>
      <w:r w:rsidRPr="00885319">
        <w:rPr>
          <w:rFonts w:cstheme="minorHAnsi"/>
        </w:rPr>
        <w:t>” designa o total acumulado de Máximo de Minutos Disponíveis durante o qual um ponto final do DNS Private Resolver está indisponível. Um minuto é considerado indisponível para uma determinada ponto final se uma resposta de DNS não for recebida ao fim de dois segundos para um Pedido de DNS válido, desde que o Pedido de DNS válido seja feito para todos os servidores de nomes associados ao ponto final e forem feitas tentativas contínuas durante pelo menos 60 segundos consecutivos.</w:t>
      </w:r>
    </w:p>
    <w:p w14:paraId="52A136FC" w14:textId="77777777" w:rsidR="00885319" w:rsidRPr="00885319" w:rsidRDefault="00885319" w:rsidP="00885319">
      <w:pPr>
        <w:pStyle w:val="ProductList-Body"/>
        <w:rPr>
          <w:rFonts w:cstheme="minorHAnsi"/>
        </w:rPr>
      </w:pPr>
      <w:r w:rsidRPr="00885319">
        <w:rPr>
          <w:rFonts w:cstheme="minorHAnsi"/>
          <w:b/>
          <w:color w:val="00188F"/>
        </w:rPr>
        <w:t>Percentagem de Período de Disponibilidade:</w:t>
      </w:r>
      <w:r w:rsidRPr="00885319">
        <w:rPr>
          <w:rFonts w:cstheme="minorHAnsi"/>
        </w:rPr>
        <w:t xml:space="preserve"> A Percentagem de Período de Disponibilidade é calculada através da seguinte fórmula:</w:t>
      </w:r>
    </w:p>
    <w:p w14:paraId="0DC7341F" w14:textId="77777777" w:rsidR="00885319" w:rsidRPr="00EF7CF9" w:rsidRDefault="00885319" w:rsidP="00885319">
      <w:pPr>
        <w:pStyle w:val="ProductList-Body"/>
      </w:pPr>
    </w:p>
    <w:p w14:paraId="2E27432F" w14:textId="77777777" w:rsidR="00885319" w:rsidRPr="00EF7CF9" w:rsidRDefault="00000000" w:rsidP="0088531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3492536" w14:textId="77777777" w:rsidR="00885319" w:rsidRPr="00885319" w:rsidRDefault="00885319" w:rsidP="00885319">
      <w:pPr>
        <w:pStyle w:val="ProductList-Body"/>
        <w:keepNext/>
        <w:rPr>
          <w:rFonts w:cstheme="minorHAnsi"/>
        </w:rPr>
      </w:pPr>
      <w:r w:rsidRPr="00885319">
        <w:rPr>
          <w:rFonts w:cstheme="minorHAnsi"/>
          <w:b/>
          <w:color w:val="00188F"/>
        </w:rPr>
        <w:t>Crédito de Serviço</w:t>
      </w:r>
      <w:r w:rsidRPr="0088531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319" w:rsidRPr="00B44CF9" w14:paraId="7FF549BB" w14:textId="77777777" w:rsidTr="00EA2F1A">
        <w:trPr>
          <w:tblHeader/>
        </w:trPr>
        <w:tc>
          <w:tcPr>
            <w:tcW w:w="5400" w:type="dxa"/>
            <w:shd w:val="clear" w:color="auto" w:fill="0072C6"/>
          </w:tcPr>
          <w:p w14:paraId="182558DE"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Percentagem de Período de Disponibilidade</w:t>
            </w:r>
          </w:p>
        </w:tc>
        <w:tc>
          <w:tcPr>
            <w:tcW w:w="5400" w:type="dxa"/>
            <w:shd w:val="clear" w:color="auto" w:fill="0072C6"/>
          </w:tcPr>
          <w:p w14:paraId="6BCF04BA"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Crédito de Serviço</w:t>
            </w:r>
          </w:p>
        </w:tc>
      </w:tr>
      <w:tr w:rsidR="00885319" w:rsidRPr="00B44CF9" w14:paraId="07F3DD10" w14:textId="77777777" w:rsidTr="00EA2F1A">
        <w:tc>
          <w:tcPr>
            <w:tcW w:w="5400" w:type="dxa"/>
          </w:tcPr>
          <w:p w14:paraId="001A7603" w14:textId="77777777" w:rsidR="00885319" w:rsidRPr="00885319" w:rsidRDefault="00885319" w:rsidP="00EA2F1A">
            <w:pPr>
              <w:pStyle w:val="ProductList-OfferingBody"/>
              <w:jc w:val="center"/>
              <w:rPr>
                <w:rFonts w:cstheme="minorHAnsi"/>
              </w:rPr>
            </w:pPr>
            <w:r w:rsidRPr="00885319">
              <w:rPr>
                <w:rFonts w:cstheme="minorHAnsi"/>
              </w:rPr>
              <w:t>&lt; 99,99%</w:t>
            </w:r>
          </w:p>
        </w:tc>
        <w:tc>
          <w:tcPr>
            <w:tcW w:w="5400" w:type="dxa"/>
          </w:tcPr>
          <w:p w14:paraId="122DF3EF" w14:textId="77777777" w:rsidR="00885319" w:rsidRPr="00885319" w:rsidRDefault="00885319" w:rsidP="00EA2F1A">
            <w:pPr>
              <w:pStyle w:val="ProductList-OfferingBody"/>
              <w:jc w:val="center"/>
              <w:rPr>
                <w:rFonts w:cstheme="minorHAnsi"/>
              </w:rPr>
            </w:pPr>
            <w:r w:rsidRPr="00885319">
              <w:rPr>
                <w:rFonts w:cstheme="minorHAnsi"/>
              </w:rPr>
              <w:t>10%</w:t>
            </w:r>
          </w:p>
        </w:tc>
      </w:tr>
      <w:tr w:rsidR="00885319" w:rsidRPr="00B44CF9" w14:paraId="481F6CB7" w14:textId="77777777" w:rsidTr="00EA2F1A">
        <w:tc>
          <w:tcPr>
            <w:tcW w:w="5400" w:type="dxa"/>
          </w:tcPr>
          <w:p w14:paraId="31746A5D" w14:textId="77777777" w:rsidR="00885319" w:rsidRPr="00885319" w:rsidRDefault="00885319" w:rsidP="00EA2F1A">
            <w:pPr>
              <w:pStyle w:val="ProductList-OfferingBody"/>
              <w:jc w:val="center"/>
              <w:rPr>
                <w:rFonts w:cstheme="minorHAnsi"/>
              </w:rPr>
            </w:pPr>
            <w:r w:rsidRPr="00885319">
              <w:rPr>
                <w:rFonts w:cstheme="minorHAnsi"/>
              </w:rPr>
              <w:t>&lt; 99,9%</w:t>
            </w:r>
          </w:p>
        </w:tc>
        <w:tc>
          <w:tcPr>
            <w:tcW w:w="5400" w:type="dxa"/>
          </w:tcPr>
          <w:p w14:paraId="5A213C9E" w14:textId="77777777" w:rsidR="00885319" w:rsidRPr="00885319" w:rsidRDefault="00885319" w:rsidP="00EA2F1A">
            <w:pPr>
              <w:pStyle w:val="ProductList-OfferingBody"/>
              <w:jc w:val="center"/>
              <w:rPr>
                <w:rFonts w:cstheme="minorHAnsi"/>
              </w:rPr>
            </w:pPr>
            <w:r w:rsidRPr="00885319">
              <w:rPr>
                <w:rFonts w:cstheme="minorHAnsi"/>
              </w:rPr>
              <w:t>25%</w:t>
            </w:r>
          </w:p>
        </w:tc>
      </w:tr>
      <w:tr w:rsidR="00885319" w:rsidRPr="00B44CF9" w14:paraId="107308CF" w14:textId="77777777" w:rsidTr="00EA2F1A">
        <w:tc>
          <w:tcPr>
            <w:tcW w:w="5400" w:type="dxa"/>
          </w:tcPr>
          <w:p w14:paraId="789A70DC" w14:textId="77777777" w:rsidR="00885319" w:rsidRPr="00885319" w:rsidRDefault="00885319" w:rsidP="00EA2F1A">
            <w:pPr>
              <w:pStyle w:val="ProductList-OfferingBody"/>
              <w:jc w:val="center"/>
              <w:rPr>
                <w:rFonts w:cstheme="minorHAnsi"/>
              </w:rPr>
            </w:pPr>
            <w:r w:rsidRPr="00885319">
              <w:rPr>
                <w:rFonts w:cstheme="minorHAnsi"/>
              </w:rPr>
              <w:t>&lt; 99,5%</w:t>
            </w:r>
          </w:p>
        </w:tc>
        <w:tc>
          <w:tcPr>
            <w:tcW w:w="5400" w:type="dxa"/>
          </w:tcPr>
          <w:p w14:paraId="57E89398" w14:textId="77777777" w:rsidR="00885319" w:rsidRPr="00885319" w:rsidRDefault="00885319" w:rsidP="00EA2F1A">
            <w:pPr>
              <w:pStyle w:val="ProductList-OfferingBody"/>
              <w:jc w:val="center"/>
              <w:rPr>
                <w:rFonts w:cstheme="minorHAnsi"/>
              </w:rPr>
            </w:pPr>
            <w:r w:rsidRPr="00885319">
              <w:rPr>
                <w:rFonts w:cstheme="minorHAnsi"/>
              </w:rPr>
              <w:t>100%</w:t>
            </w:r>
          </w:p>
        </w:tc>
      </w:tr>
    </w:tbl>
    <w:p w14:paraId="2A2996EC" w14:textId="77777777" w:rsidR="00FB0DBB" w:rsidRPr="00EF7CF9" w:rsidRDefault="00FB0DBB" w:rsidP="00FB0D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55EE" w14:textId="248CE7AA" w:rsidR="0049639F" w:rsidRDefault="0049639F" w:rsidP="00F01ED6">
      <w:pPr>
        <w:pStyle w:val="ProductList-Offering2Heading"/>
        <w:keepNext/>
        <w:tabs>
          <w:tab w:val="clear" w:pos="360"/>
          <w:tab w:val="clear" w:pos="720"/>
          <w:tab w:val="clear" w:pos="1080"/>
        </w:tabs>
        <w:outlineLvl w:val="2"/>
      </w:pPr>
      <w:bookmarkStart w:id="232" w:name="_Toc182409662"/>
      <w:r>
        <w:t>SLA Elastic San</w:t>
      </w:r>
      <w:bookmarkEnd w:id="232"/>
    </w:p>
    <w:p w14:paraId="6B14CF3D" w14:textId="77777777" w:rsidR="00D30437" w:rsidRPr="00B511B1" w:rsidRDefault="00D30437" w:rsidP="00D30437">
      <w:pPr>
        <w:pStyle w:val="ProductList-Body"/>
        <w:rPr>
          <w:rFonts w:ascii="Calibri" w:hAnsi="Calibri" w:cs="Calibri"/>
          <w:b/>
          <w:bCs/>
        </w:rPr>
      </w:pPr>
      <w:r>
        <w:rPr>
          <w:rFonts w:ascii="Calibri" w:hAnsi="Calibri" w:cs="Calibri"/>
          <w:b/>
          <w:color w:val="00188F"/>
        </w:rPr>
        <w:t>Definições Adicionais</w:t>
      </w:r>
      <w:r w:rsidRPr="00B511B1">
        <w:rPr>
          <w:rFonts w:ascii="Calibri" w:hAnsi="Calibri" w:cs="Calibri"/>
          <w:b/>
          <w:bCs/>
        </w:rPr>
        <w:t>:</w:t>
      </w:r>
    </w:p>
    <w:p w14:paraId="185F3C17"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“Total de Transações de Armazenamento”</w:t>
      </w:r>
      <w:r w:rsidRPr="00293689">
        <w:rPr>
          <w:rFonts w:ascii="Calibri" w:hAnsi="Calibri" w:cs="Calibri"/>
        </w:rPr>
        <w:t xml:space="preserve"> </w:t>
      </w:r>
      <w:r w:rsidRPr="00293689">
        <w:rPr>
          <w:rFonts w:ascii="Calibri" w:eastAsia="Segoe UI" w:hAnsi="Calibri" w:cs="Calibri"/>
          <w:color w:val="1A1A1A"/>
        </w:rPr>
        <w:t xml:space="preserve">é o conjunto de todas as transações de armazenamento tentadas num intervalo de uma hora num único volume Elastic SAN em que a contagem total de transações é &gt; 10.000. O único tipo de transação de armazenamento suportado pelo Elastic SAN são as operações iSCSI. </w:t>
      </w:r>
    </w:p>
    <w:p w14:paraId="18910B9C"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“Transações de Armazenamento com Falha”</w:t>
      </w:r>
      <w:r w:rsidRPr="00293689">
        <w:rPr>
          <w:rFonts w:ascii="Calibri" w:eastAsia="Segoe UI" w:hAnsi="Calibri" w:cs="Calibri"/>
          <w:color w:val="1A1A1A"/>
        </w:rPr>
        <w:t xml:space="preserve"> é o conjunto de todas as transações de armazenamento de leitura e escrita no âmbito do Total de Transações de Armazenamento que não são concluídas com uma resposta positiva devido a falhas do lado do serviço, excluindo erros do lado do cliente e erros de limitação do servidor. </w:t>
      </w:r>
    </w:p>
    <w:p w14:paraId="0F771D91" w14:textId="77777777" w:rsidR="00D30437" w:rsidRDefault="00D30437" w:rsidP="00D30437">
      <w:pPr>
        <w:pStyle w:val="ProductList-Body"/>
        <w:rPr>
          <w:rFonts w:eastAsia="Segoe UI"/>
          <w:color w:val="1A1A1A"/>
        </w:rPr>
      </w:pPr>
      <w:r w:rsidRPr="00293689">
        <w:rPr>
          <w:rFonts w:ascii="Calibri" w:hAnsi="Calibri" w:cs="Calibri"/>
          <w:b/>
          <w:color w:val="00188F"/>
        </w:rPr>
        <w:t>“Percentagem de Período de Disponibilidade Mensal”</w:t>
      </w:r>
      <w:r w:rsidRPr="00293689">
        <w:rPr>
          <w:rStyle w:val="Strong"/>
          <w:rFonts w:ascii="Calibri" w:hAnsi="Calibri" w:cs="Calibri"/>
          <w:shd w:val="clear" w:color="auto" w:fill="FFFFFF"/>
        </w:rPr>
        <w:t>:</w:t>
      </w:r>
      <w:r w:rsidRPr="00293689">
        <w:rPr>
          <w:rFonts w:ascii="Calibri" w:hAnsi="Calibri" w:cs="Calibri"/>
          <w:shd w:val="clear" w:color="auto" w:fill="FFFFFF"/>
        </w:rPr>
        <w:t> A Percentagem de Período de Disponibilidade Mensal no Azure Elastic SAN num único volume é calculada como a média das percentagens de disponibilidade de todos os intervalos de uma hora, que é calculada através da seguinte fórmula:</w:t>
      </w:r>
      <w:r>
        <w:rPr>
          <w:rFonts w:eastAsia="Segoe UI"/>
          <w:color w:val="1A1A1A"/>
        </w:rPr>
        <w:t xml:space="preserve"> </w:t>
      </w:r>
    </w:p>
    <w:p w14:paraId="4B0B2283" w14:textId="77777777" w:rsidR="00D30437" w:rsidRDefault="00000000" w:rsidP="00AB785C">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de Transações de Armazenamento-Transações de Armazenamento com Falha</m:t>
              </m:r>
            </m:num>
            <m:den>
              <m:r>
                <w:rPr>
                  <w:rFonts w:ascii="Cambria Math" w:hAnsi="Cambria Math"/>
                </w:rPr>
                <m:t>Total de Transações de Armazenamento</m:t>
              </m:r>
            </m:den>
          </m:f>
          <m:r>
            <w:rPr>
              <w:rFonts w:ascii="Cambria Math" w:hAnsi="Cambria Math"/>
            </w:rPr>
            <m:t>×100</m:t>
          </m:r>
        </m:oMath>
      </m:oMathPara>
    </w:p>
    <w:p w14:paraId="4A542B03" w14:textId="77777777" w:rsidR="00D30437" w:rsidRPr="000F5508" w:rsidRDefault="00D30437" w:rsidP="00485BEC">
      <w:pPr>
        <w:pStyle w:val="ProductList-Body"/>
      </w:pPr>
      <w:r>
        <w:rPr>
          <w:b/>
          <w:color w:val="00188F"/>
        </w:rPr>
        <w:t>Crédito de Serviço:</w:t>
      </w:r>
      <w:r>
        <w:t xml:space="preserve"> Elastic SAN em LRS, ZRS (pedidos de leitura e escrita) em que a contagem total de volumes Elastic SAN &gt; 10 e &gt;10%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14:paraId="48205DD6" w14:textId="77777777" w:rsidTr="00041F55">
        <w:trPr>
          <w:trHeight w:val="170"/>
        </w:trPr>
        <w:tc>
          <w:tcPr>
            <w:tcW w:w="5395" w:type="dxa"/>
            <w:shd w:val="clear" w:color="auto" w:fill="0072C6"/>
            <w:vAlign w:val="center"/>
          </w:tcPr>
          <w:p w14:paraId="1A02EB2F" w14:textId="77777777" w:rsidR="00D30437" w:rsidRPr="00485BEC" w:rsidRDefault="00D30437" w:rsidP="00485BEC">
            <w:pPr>
              <w:pStyle w:val="ProductList-OfferingBody"/>
              <w:jc w:val="center"/>
              <w:rPr>
                <w:rFonts w:cstheme="minorHAnsi"/>
                <w:color w:val="FFFFFF" w:themeColor="background1"/>
              </w:rPr>
            </w:pPr>
            <w:bookmarkStart w:id="233" w:name="_Toc178260863"/>
            <w:r w:rsidRPr="00485BEC">
              <w:rPr>
                <w:rFonts w:cstheme="minorHAnsi"/>
                <w:color w:val="FFFFFF" w:themeColor="background1"/>
              </w:rPr>
              <w:t>Percentagem de Período de Disponibilidade Mensal (por volume)</w:t>
            </w:r>
            <w:bookmarkEnd w:id="233"/>
          </w:p>
        </w:tc>
        <w:tc>
          <w:tcPr>
            <w:tcW w:w="5395" w:type="dxa"/>
            <w:shd w:val="clear" w:color="auto" w:fill="0072C6"/>
            <w:vAlign w:val="center"/>
          </w:tcPr>
          <w:p w14:paraId="7D051C6C" w14:textId="77777777" w:rsidR="00D30437" w:rsidRPr="00485BEC" w:rsidRDefault="00D30437" w:rsidP="00485BEC">
            <w:pPr>
              <w:pStyle w:val="ProductList-OfferingBody"/>
              <w:jc w:val="center"/>
              <w:rPr>
                <w:rFonts w:cstheme="minorHAnsi"/>
                <w:color w:val="FFFFFF" w:themeColor="background1"/>
              </w:rPr>
            </w:pPr>
            <w:bookmarkStart w:id="234" w:name="_Toc178260864"/>
            <w:r w:rsidRPr="00485BEC">
              <w:rPr>
                <w:rFonts w:cstheme="minorHAnsi"/>
                <w:color w:val="FFFFFF" w:themeColor="background1"/>
              </w:rPr>
              <w:t>Crédito de Serviço (baseado na utilização mensal do Elastic SAN)</w:t>
            </w:r>
            <w:bookmarkEnd w:id="234"/>
          </w:p>
        </w:tc>
      </w:tr>
      <w:tr w:rsidR="00D30437" w14:paraId="7B5EF52A" w14:textId="77777777" w:rsidTr="00041F55">
        <w:tc>
          <w:tcPr>
            <w:tcW w:w="5395" w:type="dxa"/>
            <w:vAlign w:val="center"/>
          </w:tcPr>
          <w:p w14:paraId="1CBCA54C" w14:textId="77777777" w:rsidR="00D30437" w:rsidRPr="00485BEC" w:rsidRDefault="00D30437" w:rsidP="00485BEC">
            <w:pPr>
              <w:pStyle w:val="ProductList-OfferingBody"/>
              <w:jc w:val="center"/>
              <w:rPr>
                <w:rFonts w:cstheme="minorHAnsi"/>
              </w:rPr>
            </w:pPr>
            <w:bookmarkStart w:id="235" w:name="_Toc178260865"/>
            <w:r w:rsidRPr="00485BEC">
              <w:rPr>
                <w:rFonts w:cstheme="minorHAnsi"/>
              </w:rPr>
              <w:t>&lt; 99,99%</w:t>
            </w:r>
            <w:bookmarkEnd w:id="235"/>
          </w:p>
        </w:tc>
        <w:tc>
          <w:tcPr>
            <w:tcW w:w="5395" w:type="dxa"/>
            <w:vAlign w:val="center"/>
          </w:tcPr>
          <w:p w14:paraId="0C1E2430" w14:textId="77777777" w:rsidR="00D30437" w:rsidRPr="00485BEC" w:rsidRDefault="00D30437" w:rsidP="00485BEC">
            <w:pPr>
              <w:pStyle w:val="ProductList-OfferingBody"/>
              <w:jc w:val="center"/>
              <w:rPr>
                <w:rFonts w:cstheme="minorHAnsi"/>
              </w:rPr>
            </w:pPr>
            <w:bookmarkStart w:id="236" w:name="_Toc178260866"/>
            <w:r w:rsidRPr="00485BEC">
              <w:rPr>
                <w:rFonts w:cstheme="minorHAnsi"/>
              </w:rPr>
              <w:t>5%</w:t>
            </w:r>
            <w:bookmarkEnd w:id="236"/>
          </w:p>
        </w:tc>
      </w:tr>
      <w:tr w:rsidR="00D30437" w14:paraId="6D753E08" w14:textId="77777777" w:rsidTr="00041F55">
        <w:tc>
          <w:tcPr>
            <w:tcW w:w="5395" w:type="dxa"/>
            <w:vAlign w:val="center"/>
          </w:tcPr>
          <w:p w14:paraId="04F04126" w14:textId="77777777" w:rsidR="00D30437" w:rsidRPr="00485BEC" w:rsidRDefault="00D30437" w:rsidP="00485BEC">
            <w:pPr>
              <w:pStyle w:val="ProductList-OfferingBody"/>
              <w:jc w:val="center"/>
              <w:rPr>
                <w:rFonts w:cstheme="minorHAnsi"/>
              </w:rPr>
            </w:pPr>
            <w:bookmarkStart w:id="237" w:name="_Toc178260867"/>
            <w:r w:rsidRPr="00485BEC">
              <w:rPr>
                <w:rFonts w:cstheme="minorHAnsi"/>
              </w:rPr>
              <w:t>&lt; 99%</w:t>
            </w:r>
            <w:bookmarkEnd w:id="237"/>
          </w:p>
        </w:tc>
        <w:tc>
          <w:tcPr>
            <w:tcW w:w="5395" w:type="dxa"/>
            <w:vAlign w:val="center"/>
          </w:tcPr>
          <w:p w14:paraId="10001012" w14:textId="77777777" w:rsidR="00D30437" w:rsidRPr="00485BEC" w:rsidRDefault="00D30437" w:rsidP="00485BEC">
            <w:pPr>
              <w:pStyle w:val="ProductList-OfferingBody"/>
              <w:jc w:val="center"/>
              <w:rPr>
                <w:rFonts w:cstheme="minorHAnsi"/>
              </w:rPr>
            </w:pPr>
            <w:bookmarkStart w:id="238" w:name="_Toc178260868"/>
            <w:r w:rsidRPr="00485BEC">
              <w:rPr>
                <w:rFonts w:cstheme="minorHAnsi"/>
              </w:rPr>
              <w:t>10%</w:t>
            </w:r>
            <w:bookmarkEnd w:id="238"/>
          </w:p>
        </w:tc>
      </w:tr>
    </w:tbl>
    <w:p w14:paraId="45D99B49" w14:textId="77777777" w:rsidR="00D30437" w:rsidRDefault="00D30437" w:rsidP="00D30437">
      <w:pPr>
        <w:spacing w:after="0" w:line="240" w:lineRule="auto"/>
        <w:rPr>
          <w:rFonts w:ascii="Calibri" w:hAnsi="Calibri" w:cs="Calibri"/>
          <w:b/>
          <w:color w:val="00188F"/>
          <w:sz w:val="18"/>
        </w:rPr>
      </w:pPr>
    </w:p>
    <w:p w14:paraId="48272C64" w14:textId="77777777" w:rsidR="00D30437" w:rsidRDefault="00D30437" w:rsidP="00485BEC">
      <w:pPr>
        <w:pStyle w:val="ProductList-Body"/>
      </w:pPr>
      <w:r>
        <w:rPr>
          <w:b/>
          <w:color w:val="00188F"/>
        </w:rPr>
        <w:t>Crédito de Serviço:</w:t>
      </w:r>
      <w:r>
        <w:t xml:space="preserve"> Elastic SAN em LRS, ZRS (pedidos de leitura e escrita) em que a contagem total de volumes Elastic SAN &gt; 10 e &gt;30%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474C2DE6" w14:textId="77777777" w:rsidTr="00041F55">
        <w:trPr>
          <w:trHeight w:val="170"/>
        </w:trPr>
        <w:tc>
          <w:tcPr>
            <w:tcW w:w="5395" w:type="dxa"/>
            <w:shd w:val="clear" w:color="auto" w:fill="0072C6"/>
            <w:vAlign w:val="center"/>
          </w:tcPr>
          <w:p w14:paraId="21DECF3F" w14:textId="77777777" w:rsidR="00D30437" w:rsidRPr="00485BEC" w:rsidRDefault="00D30437" w:rsidP="00485BEC">
            <w:pPr>
              <w:pStyle w:val="ProductList-OfferingBody"/>
              <w:jc w:val="center"/>
              <w:rPr>
                <w:rFonts w:cstheme="minorHAnsi"/>
                <w:color w:val="FFFFFF" w:themeColor="background1"/>
              </w:rPr>
            </w:pPr>
            <w:bookmarkStart w:id="239" w:name="_Toc178260869"/>
            <w:r w:rsidRPr="00485BEC">
              <w:rPr>
                <w:rFonts w:cstheme="minorHAnsi"/>
                <w:color w:val="FFFFFF" w:themeColor="background1"/>
              </w:rPr>
              <w:t>Percentagem de Período de Disponibilidade Mensal (por volume)</w:t>
            </w:r>
            <w:bookmarkEnd w:id="239"/>
          </w:p>
        </w:tc>
        <w:tc>
          <w:tcPr>
            <w:tcW w:w="5395" w:type="dxa"/>
            <w:shd w:val="clear" w:color="auto" w:fill="0072C6"/>
            <w:vAlign w:val="center"/>
          </w:tcPr>
          <w:p w14:paraId="7BC17255" w14:textId="77777777" w:rsidR="00D30437" w:rsidRPr="00485BEC" w:rsidRDefault="00D30437" w:rsidP="00485BEC">
            <w:pPr>
              <w:pStyle w:val="ProductList-OfferingBody"/>
              <w:jc w:val="center"/>
              <w:rPr>
                <w:rFonts w:cstheme="minorHAnsi"/>
                <w:color w:val="FFFFFF" w:themeColor="background1"/>
              </w:rPr>
            </w:pPr>
            <w:bookmarkStart w:id="240" w:name="_Toc178260870"/>
            <w:r w:rsidRPr="00485BEC">
              <w:rPr>
                <w:rFonts w:cstheme="minorHAnsi"/>
                <w:color w:val="FFFFFF" w:themeColor="background1"/>
              </w:rPr>
              <w:t>Crédito de Serviço</w:t>
            </w:r>
            <w:bookmarkEnd w:id="240"/>
          </w:p>
        </w:tc>
      </w:tr>
      <w:tr w:rsidR="00D30437" w:rsidRPr="008A6F08" w14:paraId="742EBD3E" w14:textId="77777777" w:rsidTr="00041F55">
        <w:trPr>
          <w:trHeight w:val="70"/>
        </w:trPr>
        <w:tc>
          <w:tcPr>
            <w:tcW w:w="5395" w:type="dxa"/>
            <w:vAlign w:val="center"/>
          </w:tcPr>
          <w:p w14:paraId="5089B6AE" w14:textId="77777777" w:rsidR="00D30437" w:rsidRPr="00485BEC" w:rsidRDefault="00D30437" w:rsidP="00485BEC">
            <w:pPr>
              <w:pStyle w:val="ProductList-OfferingBody"/>
              <w:jc w:val="center"/>
              <w:rPr>
                <w:rFonts w:cstheme="minorHAnsi"/>
              </w:rPr>
            </w:pPr>
            <w:bookmarkStart w:id="241" w:name="_Toc178260871"/>
            <w:r w:rsidRPr="00485BEC">
              <w:rPr>
                <w:rFonts w:cstheme="minorHAnsi"/>
              </w:rPr>
              <w:t>&lt; 99,99%</w:t>
            </w:r>
            <w:bookmarkEnd w:id="241"/>
          </w:p>
        </w:tc>
        <w:tc>
          <w:tcPr>
            <w:tcW w:w="5395" w:type="dxa"/>
            <w:vAlign w:val="center"/>
          </w:tcPr>
          <w:p w14:paraId="4E322127" w14:textId="77777777" w:rsidR="00D30437" w:rsidRPr="00485BEC" w:rsidRDefault="00D30437" w:rsidP="00485BEC">
            <w:pPr>
              <w:pStyle w:val="ProductList-OfferingBody"/>
              <w:jc w:val="center"/>
              <w:rPr>
                <w:rFonts w:cstheme="minorHAnsi"/>
              </w:rPr>
            </w:pPr>
            <w:bookmarkStart w:id="242" w:name="_Toc178260872"/>
            <w:r w:rsidRPr="00485BEC">
              <w:rPr>
                <w:rFonts w:cstheme="minorHAnsi"/>
              </w:rPr>
              <w:t>10%</w:t>
            </w:r>
            <w:bookmarkEnd w:id="242"/>
          </w:p>
        </w:tc>
      </w:tr>
      <w:tr w:rsidR="00D30437" w:rsidRPr="008A6F08" w14:paraId="5D19BD2A" w14:textId="77777777" w:rsidTr="00041F55">
        <w:tc>
          <w:tcPr>
            <w:tcW w:w="5395" w:type="dxa"/>
            <w:vAlign w:val="center"/>
          </w:tcPr>
          <w:p w14:paraId="401ED8D4" w14:textId="77777777" w:rsidR="00D30437" w:rsidRPr="00485BEC" w:rsidRDefault="00D30437" w:rsidP="00485BEC">
            <w:pPr>
              <w:pStyle w:val="ProductList-OfferingBody"/>
              <w:jc w:val="center"/>
              <w:rPr>
                <w:rFonts w:cstheme="minorHAnsi"/>
              </w:rPr>
            </w:pPr>
            <w:bookmarkStart w:id="243" w:name="_Toc178260873"/>
            <w:r w:rsidRPr="00485BEC">
              <w:rPr>
                <w:rFonts w:cstheme="minorHAnsi"/>
              </w:rPr>
              <w:t>&lt; 99%</w:t>
            </w:r>
            <w:bookmarkEnd w:id="243"/>
          </w:p>
        </w:tc>
        <w:tc>
          <w:tcPr>
            <w:tcW w:w="5395" w:type="dxa"/>
            <w:vAlign w:val="center"/>
          </w:tcPr>
          <w:p w14:paraId="7A7106AB" w14:textId="77777777" w:rsidR="00D30437" w:rsidRPr="00485BEC" w:rsidRDefault="00D30437" w:rsidP="00485BEC">
            <w:pPr>
              <w:pStyle w:val="ProductList-OfferingBody"/>
              <w:jc w:val="center"/>
              <w:rPr>
                <w:rFonts w:cstheme="minorHAnsi"/>
              </w:rPr>
            </w:pPr>
            <w:bookmarkStart w:id="244" w:name="_Toc178260874"/>
            <w:r w:rsidRPr="00485BEC">
              <w:rPr>
                <w:rFonts w:cstheme="minorHAnsi"/>
              </w:rPr>
              <w:t>30%</w:t>
            </w:r>
            <w:bookmarkEnd w:id="244"/>
          </w:p>
        </w:tc>
      </w:tr>
    </w:tbl>
    <w:p w14:paraId="3F7AD597" w14:textId="77777777" w:rsidR="00D30437" w:rsidRPr="000F5508" w:rsidRDefault="00D30437" w:rsidP="00D30437">
      <w:pPr>
        <w:spacing w:after="0" w:line="240" w:lineRule="auto"/>
        <w:rPr>
          <w:rFonts w:ascii="Calibri" w:eastAsia="Segoe UI" w:hAnsi="Calibri" w:cs="Calibri"/>
          <w:color w:val="1A1A1A"/>
          <w:sz w:val="18"/>
          <w:szCs w:val="18"/>
        </w:rPr>
      </w:pPr>
    </w:p>
    <w:p w14:paraId="6660D9D2" w14:textId="77777777" w:rsidR="00D30437" w:rsidRDefault="00D30437" w:rsidP="00485BEC">
      <w:pPr>
        <w:pStyle w:val="ProductList-Body"/>
      </w:pPr>
      <w:r>
        <w:rPr>
          <w:b/>
          <w:color w:val="00188F"/>
        </w:rPr>
        <w:t>Crédito de Serviço:</w:t>
      </w:r>
      <w:r>
        <w:t xml:space="preserve"> Elastic SAN em LRS, ZRS (pedidos de leitura e escrita) em que a contagem total de volumes Elastic SAN &lt;= 10 e quaisquer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1AF6C103" w14:textId="77777777" w:rsidTr="00041F55">
        <w:trPr>
          <w:trHeight w:val="170"/>
        </w:trPr>
        <w:tc>
          <w:tcPr>
            <w:tcW w:w="5395" w:type="dxa"/>
            <w:shd w:val="clear" w:color="auto" w:fill="0072C6"/>
            <w:vAlign w:val="center"/>
          </w:tcPr>
          <w:p w14:paraId="2C913092" w14:textId="77777777" w:rsidR="00D30437" w:rsidRPr="00485BEC" w:rsidRDefault="00D30437" w:rsidP="00485BEC">
            <w:pPr>
              <w:pStyle w:val="ProductList-OfferingBody"/>
              <w:jc w:val="center"/>
              <w:rPr>
                <w:rFonts w:cstheme="minorHAnsi"/>
                <w:color w:val="FFFFFF" w:themeColor="background1"/>
              </w:rPr>
            </w:pPr>
            <w:bookmarkStart w:id="245" w:name="_Toc178260875"/>
            <w:r w:rsidRPr="00485BEC">
              <w:rPr>
                <w:rFonts w:cstheme="minorHAnsi"/>
                <w:color w:val="FFFFFF" w:themeColor="background1"/>
              </w:rPr>
              <w:t>Percentagem de Período de Disponibilidade Mensal (por volume)</w:t>
            </w:r>
            <w:bookmarkEnd w:id="245"/>
          </w:p>
        </w:tc>
        <w:tc>
          <w:tcPr>
            <w:tcW w:w="5395" w:type="dxa"/>
            <w:shd w:val="clear" w:color="auto" w:fill="0072C6"/>
            <w:vAlign w:val="center"/>
          </w:tcPr>
          <w:p w14:paraId="59011E5D" w14:textId="77777777" w:rsidR="00D30437" w:rsidRPr="00485BEC" w:rsidRDefault="00D30437" w:rsidP="00485BEC">
            <w:pPr>
              <w:pStyle w:val="ProductList-OfferingBody"/>
              <w:jc w:val="center"/>
              <w:rPr>
                <w:rFonts w:cstheme="minorHAnsi"/>
                <w:color w:val="FFFFFF" w:themeColor="background1"/>
              </w:rPr>
            </w:pPr>
            <w:bookmarkStart w:id="246" w:name="_Toc178260876"/>
            <w:r w:rsidRPr="00485BEC">
              <w:rPr>
                <w:rFonts w:cstheme="minorHAnsi"/>
                <w:color w:val="FFFFFF" w:themeColor="background1"/>
              </w:rPr>
              <w:t>Crédito de Serviço</w:t>
            </w:r>
            <w:bookmarkEnd w:id="246"/>
          </w:p>
        </w:tc>
      </w:tr>
      <w:tr w:rsidR="00D30437" w:rsidRPr="008A6F08" w14:paraId="543C58C4" w14:textId="77777777" w:rsidTr="00041F55">
        <w:tc>
          <w:tcPr>
            <w:tcW w:w="5395" w:type="dxa"/>
            <w:vAlign w:val="center"/>
          </w:tcPr>
          <w:p w14:paraId="075740CC" w14:textId="77777777" w:rsidR="00D30437" w:rsidRPr="00485BEC" w:rsidRDefault="00D30437" w:rsidP="00485BEC">
            <w:pPr>
              <w:pStyle w:val="ProductList-OfferingBody"/>
              <w:jc w:val="center"/>
              <w:rPr>
                <w:rFonts w:cstheme="minorHAnsi"/>
              </w:rPr>
            </w:pPr>
            <w:bookmarkStart w:id="247" w:name="_Toc178260877"/>
            <w:r w:rsidRPr="00485BEC">
              <w:rPr>
                <w:rFonts w:cstheme="minorHAnsi"/>
              </w:rPr>
              <w:t>&lt; 95%</w:t>
            </w:r>
            <w:bookmarkEnd w:id="247"/>
          </w:p>
        </w:tc>
        <w:tc>
          <w:tcPr>
            <w:tcW w:w="5395" w:type="dxa"/>
            <w:vAlign w:val="center"/>
          </w:tcPr>
          <w:p w14:paraId="395D8822" w14:textId="77777777" w:rsidR="00D30437" w:rsidRPr="00485BEC" w:rsidRDefault="00D30437" w:rsidP="00485BEC">
            <w:pPr>
              <w:pStyle w:val="ProductList-OfferingBody"/>
              <w:jc w:val="center"/>
              <w:rPr>
                <w:rFonts w:cstheme="minorHAnsi"/>
              </w:rPr>
            </w:pPr>
            <w:bookmarkStart w:id="248" w:name="_Toc178260878"/>
            <w:r w:rsidRPr="00485BEC">
              <w:rPr>
                <w:rFonts w:cstheme="minorHAnsi"/>
              </w:rPr>
              <w:t>10%</w:t>
            </w:r>
            <w:bookmarkEnd w:id="248"/>
          </w:p>
        </w:tc>
      </w:tr>
      <w:tr w:rsidR="00D30437" w:rsidRPr="008A6F08" w14:paraId="058A52B5" w14:textId="77777777" w:rsidTr="00041F55">
        <w:tc>
          <w:tcPr>
            <w:tcW w:w="5395" w:type="dxa"/>
            <w:vAlign w:val="center"/>
          </w:tcPr>
          <w:p w14:paraId="2A263DEE" w14:textId="77777777" w:rsidR="00D30437" w:rsidRPr="00485BEC" w:rsidRDefault="00D30437" w:rsidP="00485BEC">
            <w:pPr>
              <w:pStyle w:val="ProductList-OfferingBody"/>
              <w:jc w:val="center"/>
              <w:rPr>
                <w:rFonts w:cstheme="minorHAnsi"/>
              </w:rPr>
            </w:pPr>
            <w:bookmarkStart w:id="249" w:name="_Toc178260879"/>
            <w:r w:rsidRPr="00485BEC">
              <w:rPr>
                <w:rFonts w:cstheme="minorHAnsi"/>
              </w:rPr>
              <w:t>&lt; 90%</w:t>
            </w:r>
            <w:bookmarkEnd w:id="249"/>
          </w:p>
        </w:tc>
        <w:tc>
          <w:tcPr>
            <w:tcW w:w="5395" w:type="dxa"/>
            <w:vAlign w:val="center"/>
          </w:tcPr>
          <w:p w14:paraId="1822AE6D" w14:textId="77777777" w:rsidR="00D30437" w:rsidRPr="00485BEC" w:rsidRDefault="00D30437" w:rsidP="00485BEC">
            <w:pPr>
              <w:pStyle w:val="ProductList-OfferingBody"/>
              <w:jc w:val="center"/>
              <w:rPr>
                <w:rFonts w:cstheme="minorHAnsi"/>
              </w:rPr>
            </w:pPr>
            <w:bookmarkStart w:id="250" w:name="_Toc178260880"/>
            <w:r w:rsidRPr="00485BEC">
              <w:rPr>
                <w:rFonts w:cstheme="minorHAnsi"/>
              </w:rPr>
              <w:t>30%</w:t>
            </w:r>
            <w:bookmarkEnd w:id="250"/>
          </w:p>
        </w:tc>
      </w:tr>
    </w:tbl>
    <w:p w14:paraId="3A73CBCB" w14:textId="77777777" w:rsidR="00AB785C" w:rsidRPr="00EF7CF9" w:rsidRDefault="00AB785C" w:rsidP="00AB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7520E5" w14:textId="1ABFE816" w:rsidR="00CE29C1" w:rsidRPr="00042CC1" w:rsidRDefault="00CE29C1" w:rsidP="00F01ED6">
      <w:pPr>
        <w:pStyle w:val="ProductList-Offering2Heading"/>
        <w:keepNext/>
        <w:tabs>
          <w:tab w:val="clear" w:pos="360"/>
          <w:tab w:val="clear" w:pos="720"/>
          <w:tab w:val="clear" w:pos="1080"/>
        </w:tabs>
        <w:outlineLvl w:val="2"/>
      </w:pPr>
      <w:bookmarkStart w:id="251" w:name="_Toc182409663"/>
      <w:r>
        <w:t>Grelha de Eventos</w:t>
      </w:r>
      <w:bookmarkEnd w:id="227"/>
      <w:bookmarkEnd w:id="228"/>
      <w:bookmarkEnd w:id="251"/>
    </w:p>
    <w:p w14:paraId="437BE5B4" w14:textId="77777777" w:rsidR="00CE29C1" w:rsidRPr="00042CC1" w:rsidRDefault="00CE29C1" w:rsidP="00F01ED6">
      <w:pPr>
        <w:pStyle w:val="ProductList-Body"/>
      </w:pPr>
      <w:r>
        <w:rPr>
          <w:b/>
          <w:color w:val="00188F"/>
        </w:rPr>
        <w:t>Definições Adicionais</w:t>
      </w:r>
      <w:r w:rsidRPr="00473DD3">
        <w:rPr>
          <w:b/>
          <w:color w:val="00188F"/>
        </w:rPr>
        <w:t>:</w:t>
      </w:r>
    </w:p>
    <w:p w14:paraId="0328158B" w14:textId="36950EC4" w:rsidR="00CE29C1" w:rsidRPr="00AD4F4D"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durante os quais uma Grelha de Eventos foi implementada pelo Cliente numa subscrição do Microsoft Azure durante um Período Aplicável.</w:t>
      </w:r>
    </w:p>
    <w:p w14:paraId="33CF1F3B" w14:textId="01077019" w:rsidR="00CE29C1" w:rsidRPr="00D730E5"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Período de Indisponibilidade</w:t>
      </w:r>
      <w:r>
        <w:rPr>
          <w:rFonts w:eastAsiaTheme="minorEastAsia"/>
          <w:sz w:val="18"/>
          <w:szCs w:val="18"/>
        </w:rPr>
        <w:t>”</w:t>
      </w:r>
      <w:r w:rsidR="00CE29C1">
        <w:rPr>
          <w:rFonts w:eastAsiaTheme="minorEastAsia"/>
          <w:sz w:val="18"/>
          <w:szCs w:val="18"/>
        </w:rPr>
        <w:t xml:space="preserve"> designa o número total de minutos durante o Máximo de Minutos Disponíveis em todas Grelhas de Eventos implementadas pelo Cliente numa determinada subscrição do Microsoft Azure durante a qual a Grelha de Eventos está indisponível. Um minuto é</w:t>
      </w:r>
      <w:r w:rsidR="00D041BB">
        <w:rPr>
          <w:rFonts w:eastAsiaTheme="minorEastAsia"/>
          <w:sz w:val="18"/>
          <w:szCs w:val="18"/>
        </w:rPr>
        <w:t> </w:t>
      </w:r>
      <w:r w:rsidR="00CE29C1">
        <w:rPr>
          <w:rFonts w:eastAsiaTheme="minorEastAsia"/>
          <w:sz w:val="18"/>
          <w:szCs w:val="18"/>
        </w:rPr>
        <w:t>considerado indisponível para uma determinada Grelha de Eventos se todos os pedidos de publicação de uma mensagem devolverem um Código</w:t>
      </w:r>
      <w:r w:rsidR="00D041BB">
        <w:rPr>
          <w:rFonts w:eastAsiaTheme="minorEastAsia"/>
          <w:sz w:val="18"/>
          <w:szCs w:val="18"/>
        </w:rPr>
        <w:t> </w:t>
      </w:r>
      <w:r w:rsidR="00CE29C1">
        <w:rPr>
          <w:rFonts w:eastAsiaTheme="minorEastAsia"/>
          <w:sz w:val="18"/>
          <w:szCs w:val="18"/>
        </w:rPr>
        <w:t>de Erro ou não resultarem num Código de Êxito no prazo de um minuto.</w:t>
      </w:r>
    </w:p>
    <w:p w14:paraId="2BEDFAF2" w14:textId="75DA3EEA" w:rsidR="00CE29C1" w:rsidRDefault="00380305" w:rsidP="00F01ED6">
      <w:pPr>
        <w:pStyle w:val="ProductList-Body"/>
      </w:pPr>
      <w:r>
        <w:t>“</w:t>
      </w:r>
      <w:r w:rsidR="00CE29C1">
        <w:rPr>
          <w:b/>
          <w:color w:val="00188F"/>
        </w:rPr>
        <w:t>Percentagem de Período de Disponibilidade</w:t>
      </w:r>
      <w:r>
        <w:t>”</w:t>
      </w:r>
      <w:r w:rsidR="00CE29C1">
        <w:t>: A Percentagem de Período de Disponibilidade é calculada através da seguinte fórmula:</w:t>
      </w:r>
    </w:p>
    <w:p w14:paraId="63C0DE98" w14:textId="77777777" w:rsidR="00CE29C1" w:rsidRPr="00C55C00" w:rsidRDefault="00CE29C1" w:rsidP="00F01ED6">
      <w:pPr>
        <w:pStyle w:val="ProductList-Body"/>
        <w:rPr>
          <w:szCs w:val="18"/>
        </w:rPr>
      </w:pPr>
    </w:p>
    <w:p w14:paraId="79284E66" w14:textId="77968965" w:rsidR="00CE29C1" w:rsidRPr="00D730E5" w:rsidRDefault="00000000" w:rsidP="00F01ED6">
      <w:pPr>
        <w:spacing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548F73" w14:textId="77777777" w:rsidR="00CE29C1" w:rsidRPr="00042CC1" w:rsidRDefault="00CE29C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0E0AC4" w14:textId="77777777" w:rsidR="00CE29C1" w:rsidRPr="00042CC1" w:rsidRDefault="00CE29C1" w:rsidP="00F01ED6">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F01ED6">
            <w:pPr>
              <w:pStyle w:val="ProductList-OfferingBody"/>
              <w:jc w:val="center"/>
            </w:pPr>
            <w:r>
              <w:t>&lt; 99,99%</w:t>
            </w:r>
          </w:p>
        </w:tc>
        <w:tc>
          <w:tcPr>
            <w:tcW w:w="5400" w:type="dxa"/>
          </w:tcPr>
          <w:p w14:paraId="373AB7D9" w14:textId="77777777" w:rsidR="00CE29C1" w:rsidRPr="00D730E5" w:rsidRDefault="00CE29C1" w:rsidP="00F01ED6">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F01ED6">
            <w:pPr>
              <w:pStyle w:val="ProductList-OfferingBody"/>
              <w:jc w:val="center"/>
            </w:pPr>
            <w:r>
              <w:t>&lt; 99%</w:t>
            </w:r>
          </w:p>
        </w:tc>
        <w:tc>
          <w:tcPr>
            <w:tcW w:w="5400" w:type="dxa"/>
          </w:tcPr>
          <w:p w14:paraId="19499F7C" w14:textId="77777777" w:rsidR="00CE29C1" w:rsidRPr="00D730E5" w:rsidRDefault="00CE29C1" w:rsidP="00F01ED6">
            <w:pPr>
              <w:pStyle w:val="ProductList-OfferingBody"/>
              <w:jc w:val="center"/>
            </w:pPr>
            <w:r>
              <w:t>25%</w:t>
            </w:r>
          </w:p>
        </w:tc>
      </w:tr>
    </w:tbl>
    <w:bookmarkStart w:id="252" w:name="_Toc457821571"/>
    <w:bookmarkStart w:id="253" w:name="_Toc52348981"/>
    <w:p w14:paraId="3C9BC4E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E361F15" w14:textId="77777777" w:rsidR="00795604" w:rsidRPr="00EF7CF9" w:rsidRDefault="00795604" w:rsidP="00DB5453">
      <w:pPr>
        <w:pStyle w:val="ProductList-Offering2Heading"/>
        <w:keepNext/>
        <w:keepLines/>
        <w:tabs>
          <w:tab w:val="clear" w:pos="360"/>
          <w:tab w:val="clear" w:pos="720"/>
          <w:tab w:val="clear" w:pos="1080"/>
        </w:tabs>
        <w:outlineLvl w:val="2"/>
      </w:pPr>
      <w:bookmarkStart w:id="254" w:name="_Toc182409664"/>
      <w:r>
        <w:t>Hubs de Eventos</w:t>
      </w:r>
      <w:bookmarkEnd w:id="252"/>
      <w:bookmarkEnd w:id="253"/>
      <w:bookmarkEnd w:id="254"/>
    </w:p>
    <w:p w14:paraId="0D535102" w14:textId="77777777" w:rsidR="00795604" w:rsidRPr="00EF7CF9" w:rsidRDefault="00795604" w:rsidP="00DB5453">
      <w:pPr>
        <w:pStyle w:val="ProductList-Body"/>
        <w:keepNext/>
        <w:keepLines/>
      </w:pPr>
      <w:r>
        <w:rPr>
          <w:b/>
          <w:color w:val="00188F"/>
        </w:rPr>
        <w:t>Definições Adicionais</w:t>
      </w:r>
      <w:r w:rsidRPr="00473DD3">
        <w:rPr>
          <w:b/>
          <w:color w:val="00188F"/>
        </w:rPr>
        <w:t>:</w:t>
      </w:r>
    </w:p>
    <w:p w14:paraId="50576E2D" w14:textId="2AEC763C" w:rsidR="00795604" w:rsidRPr="00EF7CF9" w:rsidRDefault="00380305" w:rsidP="00F01ED6">
      <w:pPr>
        <w:pStyle w:val="ProductList-Body"/>
      </w:pPr>
      <w:r>
        <w:t>“</w:t>
      </w:r>
      <w:r w:rsidR="00795604">
        <w:rPr>
          <w:b/>
          <w:color w:val="00188F"/>
        </w:rPr>
        <w:t>Mensagem</w:t>
      </w:r>
      <w:r>
        <w:t>”</w:t>
      </w:r>
      <w:r w:rsidR="00795604">
        <w:t xml:space="preserve"> designa qualquer conteúdo definido pelo utilizador que seja enviado ou recebido através de Reencaminhamentos de Barramento de</w:t>
      </w:r>
      <w:r w:rsidR="00592D0C">
        <w:t> </w:t>
      </w:r>
      <w:r w:rsidR="00795604">
        <w:t>Serviço, Filas, Tópicos ou Hubs de Notificação e que utilize qualquer protocolo suportado pelo Service Bus.</w:t>
      </w:r>
    </w:p>
    <w:p w14:paraId="452A93E2" w14:textId="2F3870B2" w:rsidR="00795604" w:rsidRPr="00ED4527" w:rsidRDefault="00EE6E3C" w:rsidP="00F01ED6">
      <w:pPr>
        <w:pStyle w:val="ProductList-Body"/>
        <w:spacing w:before="120"/>
        <w:rPr>
          <w:b/>
          <w:bCs/>
          <w:color w:val="00188F"/>
        </w:rPr>
      </w:pPr>
      <w:r>
        <w:rPr>
          <w:b/>
          <w:bCs/>
          <w:color w:val="00188F"/>
        </w:rPr>
        <w:t>Cálculo do Período de Disponibilidade e Níveis de Serviço para Hubs de Eventos nas camadas Basic e Standard</w:t>
      </w:r>
    </w:p>
    <w:p w14:paraId="0D780F49" w14:textId="4829F4AD" w:rsidR="00795604" w:rsidRPr="00EF7CF9" w:rsidRDefault="00380305" w:rsidP="00F01ED6">
      <w:pPr>
        <w:pStyle w:val="ProductList-Body"/>
      </w:pPr>
      <w:r>
        <w:t>“</w:t>
      </w:r>
      <w:r w:rsidR="00795604">
        <w:rPr>
          <w:b/>
          <w:color w:val="00188F"/>
        </w:rPr>
        <w:t>Minutos de Implementação</w:t>
      </w:r>
      <w:r>
        <w:t>”</w:t>
      </w:r>
      <w:r w:rsidR="00795604">
        <w:t xml:space="preserve"> designa o número total de minutos durante os quais um determinado Hub de Eventos foi implementado no Microsoft Azure durante um Período Aplicável.</w:t>
      </w:r>
    </w:p>
    <w:p w14:paraId="5B4F51F2" w14:textId="378F34B5" w:rsidR="00795604" w:rsidRPr="00EF7CF9" w:rsidRDefault="00380305" w:rsidP="00F01ED6">
      <w:pPr>
        <w:pStyle w:val="ProductList-Body"/>
      </w:pPr>
      <w:r>
        <w:t>“</w:t>
      </w:r>
      <w:r w:rsidR="00795604">
        <w:rPr>
          <w:b/>
          <w:color w:val="00188F"/>
        </w:rPr>
        <w:t>Máximo de Minutos Disponíveis</w:t>
      </w:r>
      <w:r>
        <w:t>”</w:t>
      </w:r>
      <w:r w:rsidR="00795604">
        <w:t xml:space="preserve"> designa a soma de todos os Minutos de Implementação em todos os Hubs de Eventos implementados pelo Cliente numa determinada subscrição do Microsoft Azure nas camadas Basic ou Standard dos Hubs de Eventos durante um Período Aplicável.</w:t>
      </w:r>
    </w:p>
    <w:p w14:paraId="0D07A3EF" w14:textId="77777777" w:rsidR="00795604" w:rsidRPr="00E80B8A" w:rsidRDefault="00795604" w:rsidP="00F01ED6">
      <w:pPr>
        <w:pStyle w:val="ProductList-Body"/>
        <w:rPr>
          <w:spacing w:val="-3"/>
        </w:rPr>
      </w:pPr>
      <w:r w:rsidRPr="00E80B8A">
        <w:rPr>
          <w:b/>
          <w:color w:val="00188F"/>
          <w:spacing w:val="-3"/>
        </w:rPr>
        <w:t>Período de Indisponibilidade</w:t>
      </w:r>
      <w:r w:rsidRPr="00473DD3">
        <w:rPr>
          <w:b/>
          <w:color w:val="00188F"/>
          <w:spacing w:val="-3"/>
        </w:rPr>
        <w:t>:</w:t>
      </w:r>
      <w:r w:rsidRPr="00E80B8A">
        <w:rPr>
          <w:spacing w:val="-3"/>
        </w:rP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sidRPr="00E80B8A">
        <w:rPr>
          <w:rFonts w:cs="Segoe UI"/>
          <w:spacing w:val="-3"/>
        </w:rPr>
        <w:t xml:space="preserve">Hub de </w:t>
      </w:r>
      <w:r w:rsidRPr="00E80B8A">
        <w:rPr>
          <w:spacing w:val="-3"/>
        </w:rPr>
        <w:t>Eventos nesse minuto devolverem um Código de Erro ou não resultarem num Código de Êxito num prazo de cinco minutos.</w:t>
      </w:r>
    </w:p>
    <w:p w14:paraId="7928B454" w14:textId="1BC237BC" w:rsidR="0079560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99AF6AC" w14:textId="77777777" w:rsidR="00795604" w:rsidRPr="00C55C00" w:rsidRDefault="00795604" w:rsidP="00F01ED6">
      <w:pPr>
        <w:pStyle w:val="ProductList-Body"/>
        <w:rPr>
          <w:szCs w:val="18"/>
        </w:rPr>
      </w:pPr>
    </w:p>
    <w:p w14:paraId="38F5FD93" w14:textId="0731BE94" w:rsidR="00795604" w:rsidRPr="00EF7CF9"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00DC91E" w14:textId="77777777" w:rsidR="00795604" w:rsidRPr="00E80B8A" w:rsidRDefault="00795604" w:rsidP="00F01ED6">
      <w:pPr>
        <w:pStyle w:val="ProductList-Body"/>
        <w:rPr>
          <w:spacing w:val="-2"/>
        </w:rPr>
      </w:pPr>
      <w:r w:rsidRPr="00E80B8A">
        <w:rPr>
          <w:b/>
          <w:color w:val="00188F"/>
          <w:spacing w:val="-2"/>
        </w:rPr>
        <w:t>Os seguintes Níveis de Serviço e Créditos de Serviço são aplicáveis à utilização que o Cliente faz das camadas Basic e Standard dos Hubs de Eventos</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19E93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F01ED6">
            <w:pPr>
              <w:pStyle w:val="ProductList-OfferingBody"/>
              <w:jc w:val="center"/>
            </w:pPr>
            <w:r>
              <w:t>&lt; 99,95%</w:t>
            </w:r>
          </w:p>
        </w:tc>
        <w:tc>
          <w:tcPr>
            <w:tcW w:w="5400" w:type="dxa"/>
          </w:tcPr>
          <w:p w14:paraId="10CBE3D0" w14:textId="77777777" w:rsidR="00795604" w:rsidRPr="00EF7CF9" w:rsidRDefault="00795604" w:rsidP="00F01ED6">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F01ED6">
            <w:pPr>
              <w:pStyle w:val="ProductList-OfferingBody"/>
              <w:jc w:val="center"/>
            </w:pPr>
            <w:r>
              <w:t>&lt; 99%</w:t>
            </w:r>
          </w:p>
        </w:tc>
        <w:tc>
          <w:tcPr>
            <w:tcW w:w="5400" w:type="dxa"/>
          </w:tcPr>
          <w:p w14:paraId="41FBFCB3" w14:textId="77777777" w:rsidR="00795604" w:rsidRPr="00EF7CF9" w:rsidRDefault="00795604" w:rsidP="00F01ED6">
            <w:pPr>
              <w:pStyle w:val="ProductList-OfferingBody"/>
              <w:jc w:val="center"/>
            </w:pPr>
            <w:r>
              <w:t>25%</w:t>
            </w:r>
          </w:p>
        </w:tc>
      </w:tr>
    </w:tbl>
    <w:p w14:paraId="36DAB40C" w14:textId="17D51539" w:rsidR="00795604" w:rsidRPr="00ED4527" w:rsidRDefault="00EE6E3C" w:rsidP="00F01ED6">
      <w:pPr>
        <w:pStyle w:val="ProductList-Body"/>
        <w:spacing w:before="240"/>
        <w:rPr>
          <w:b/>
          <w:bCs/>
          <w:color w:val="00188F"/>
        </w:rPr>
      </w:pPr>
      <w:r>
        <w:rPr>
          <w:b/>
          <w:bCs/>
          <w:color w:val="00188F"/>
        </w:rPr>
        <w:t>Cálculo do Período de Disponibilidade e Níveis de Serviço para Hubs de Eventos nas camadas Premium e Dedicada</w:t>
      </w:r>
    </w:p>
    <w:p w14:paraId="7F3A0014" w14:textId="20A1C363" w:rsidR="00795604" w:rsidRPr="00ED4527" w:rsidRDefault="00380305" w:rsidP="00F01ED6">
      <w:pPr>
        <w:pStyle w:val="ProductList-Body"/>
        <w:rPr>
          <w:color w:val="000000" w:themeColor="text1"/>
        </w:rPr>
      </w:pPr>
      <w:r>
        <w:rPr>
          <w:color w:val="000000" w:themeColor="text1"/>
        </w:rPr>
        <w:t>“</w:t>
      </w:r>
      <w:r w:rsidR="00795604">
        <w:rPr>
          <w:b/>
          <w:bCs/>
          <w:color w:val="00188F"/>
        </w:rPr>
        <w:t>Minutos de Implementação</w:t>
      </w:r>
      <w:r>
        <w:rPr>
          <w:color w:val="000000" w:themeColor="text1"/>
        </w:rPr>
        <w:t>”</w:t>
      </w:r>
      <w:r w:rsidR="00795604">
        <w:rPr>
          <w:color w:val="000000" w:themeColor="text1"/>
        </w:rPr>
        <w:t xml:space="preserve"> designa o número total de minutos durante os quais um determinado Hub de Eventos foi implementado no Microsoft Azure durante um Período Aplicável.</w:t>
      </w:r>
    </w:p>
    <w:p w14:paraId="6F2209A8" w14:textId="25AD3E70" w:rsidR="00795604" w:rsidRPr="00ED4527" w:rsidRDefault="00380305" w:rsidP="00F01ED6">
      <w:pPr>
        <w:pStyle w:val="ProductList-Body"/>
        <w:rPr>
          <w:color w:val="000000" w:themeColor="text1"/>
        </w:rPr>
      </w:pPr>
      <w:r>
        <w:rPr>
          <w:color w:val="000000" w:themeColor="text1"/>
        </w:rPr>
        <w:t>“</w:t>
      </w:r>
      <w:r w:rsidR="00795604">
        <w:rPr>
          <w:b/>
          <w:bCs/>
          <w:color w:val="00188F"/>
        </w:rPr>
        <w:t>Máximo de Minutos Disponíveis</w:t>
      </w:r>
      <w:r>
        <w:rPr>
          <w:color w:val="000000" w:themeColor="text1"/>
        </w:rPr>
        <w:t>”</w:t>
      </w:r>
      <w:r w:rsidR="00795604">
        <w:rPr>
          <w:color w:val="000000" w:themeColor="text1"/>
        </w:rPr>
        <w:t xml:space="preserve"> designa a soma de todos os Minutos de Implementação em todos os Hubs de Eventos implementados pelo Cliente numa determinada subscrição do Microsoft Azure nas camadas Premium ou Dedicada dos Hubs de Eventos durante um Período Aplicável.</w:t>
      </w:r>
    </w:p>
    <w:p w14:paraId="07D95EC2" w14:textId="69151520" w:rsidR="00795604" w:rsidRPr="00ED4527" w:rsidRDefault="00380305" w:rsidP="00F01ED6">
      <w:pPr>
        <w:pStyle w:val="ProductList-Body"/>
        <w:rPr>
          <w:color w:val="000000" w:themeColor="text1"/>
        </w:rPr>
      </w:pPr>
      <w:r>
        <w:rPr>
          <w:color w:val="000000" w:themeColor="text1"/>
        </w:rPr>
        <w:t>“</w:t>
      </w:r>
      <w:r w:rsidR="00795604">
        <w:rPr>
          <w:b/>
          <w:bCs/>
          <w:color w:val="00188F"/>
        </w:rPr>
        <w:t>Período de Indisponibilidade</w:t>
      </w:r>
      <w:r>
        <w:rPr>
          <w:color w:val="000000" w:themeColor="text1"/>
        </w:rPr>
        <w:t>”</w:t>
      </w:r>
      <w:r w:rsidR="00795604">
        <w:rPr>
          <w:color w:val="000000" w:themeColor="text1"/>
        </w:rPr>
        <w:t xml:space="preserve"> designa o total de Minutos de Implementação acumulados, em todos os Hubs de Eventos implementados pelo Cliente numa determinada subscrição do Microsoft Azure nas camadas Premium ou Dedicada dos Hubs de Eventos, no qual o Hub de Eventos está indisponível. Um minuto é considerado indisponível para um determinado Hub de Eventos se todas as tentativas contínuas para enviar ou receber Mensagens ou executar outras operações no Hub de Eventos nesse minuto devolverem um Código de Erro ou não resultarem num Código de Êxito num prazo de cinco minutos.</w:t>
      </w:r>
    </w:p>
    <w:p w14:paraId="3914DB2B" w14:textId="66AB1FDC" w:rsidR="00795604" w:rsidRDefault="00380305" w:rsidP="00F01ED6">
      <w:pPr>
        <w:pStyle w:val="ProductList-Body"/>
        <w:rPr>
          <w:color w:val="000000" w:themeColor="text1"/>
        </w:rPr>
      </w:pPr>
      <w:r>
        <w:rPr>
          <w:color w:val="000000" w:themeColor="text1"/>
        </w:rPr>
        <w:t>“</w:t>
      </w:r>
      <w:r w:rsidR="00795604">
        <w:rPr>
          <w:b/>
          <w:bCs/>
          <w:color w:val="00188F"/>
        </w:rPr>
        <w:t>Percentagem de Período de Disponibilidade</w:t>
      </w:r>
      <w:r>
        <w:rPr>
          <w:color w:val="000000" w:themeColor="text1"/>
        </w:rPr>
        <w:t>”</w:t>
      </w:r>
      <w:r w:rsidR="00795604">
        <w:rPr>
          <w:color w:val="000000" w:themeColor="text1"/>
        </w:rPr>
        <w:t xml:space="preserve"> para os Hubs de Eventos é calculada como o Máximo de Minutos Disponíveis menos o Período de</w:t>
      </w:r>
      <w:r w:rsidR="00796379">
        <w:rPr>
          <w:color w:val="000000" w:themeColor="text1"/>
        </w:rPr>
        <w:t> </w:t>
      </w:r>
      <w:r w:rsidR="00795604">
        <w:rPr>
          <w:color w:val="000000" w:themeColor="text1"/>
        </w:rPr>
        <w:t>Indisponibilidade a dividir pelo Máximo de Minutos Disponíveis num Período Aplicável para uma determinada subscrição do Microsoft Azure.</w:t>
      </w:r>
    </w:p>
    <w:p w14:paraId="7028DE47" w14:textId="7414BE93" w:rsidR="00795604" w:rsidRDefault="00AC48A7" w:rsidP="00F01ED6">
      <w:pPr>
        <w:pStyle w:val="ProductList-Body"/>
        <w:rPr>
          <w:color w:val="000000" w:themeColor="text1"/>
        </w:rPr>
      </w:pPr>
      <w:r>
        <w:rPr>
          <w:color w:val="000000" w:themeColor="text1"/>
        </w:rPr>
        <w:t>A Percentagem de Período de Disponibilidade é representada pela seguinte fórmula:</w:t>
      </w:r>
    </w:p>
    <w:p w14:paraId="6AE44BF1" w14:textId="77777777" w:rsidR="00795604" w:rsidRPr="00E80B8A" w:rsidRDefault="00795604" w:rsidP="00F01ED6">
      <w:pPr>
        <w:pStyle w:val="ProductList-Body"/>
        <w:rPr>
          <w:color w:val="000000" w:themeColor="text1"/>
          <w:sz w:val="12"/>
        </w:rPr>
      </w:pPr>
    </w:p>
    <w:p w14:paraId="53424A05" w14:textId="37D157AE" w:rsidR="00795604"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1E8A31" w14:textId="77777777" w:rsidR="00795604" w:rsidRPr="00EF7CF9" w:rsidRDefault="00795604" w:rsidP="00F01ED6">
      <w:pPr>
        <w:pStyle w:val="ProductList-Body"/>
      </w:pPr>
      <w:r>
        <w:rPr>
          <w:b/>
          <w:color w:val="00188F"/>
        </w:rPr>
        <w:t>Os seguintes Níveis de Serviço e Créditos de Serviço são aplicáveis à utilização que o Cliente faz das camadas Premium ou Dedicada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C2EA9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F01ED6">
            <w:pPr>
              <w:pStyle w:val="ProductList-OfferingBody"/>
              <w:jc w:val="center"/>
            </w:pPr>
            <w:r>
              <w:t>&lt; 99,99%</w:t>
            </w:r>
          </w:p>
        </w:tc>
        <w:tc>
          <w:tcPr>
            <w:tcW w:w="5400" w:type="dxa"/>
          </w:tcPr>
          <w:p w14:paraId="3958ED47" w14:textId="77777777" w:rsidR="00795604" w:rsidRPr="00EF7CF9" w:rsidRDefault="00795604" w:rsidP="00F01ED6">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F01ED6">
            <w:pPr>
              <w:pStyle w:val="ProductList-OfferingBody"/>
              <w:jc w:val="center"/>
            </w:pPr>
            <w:r>
              <w:t>&lt; 99%</w:t>
            </w:r>
          </w:p>
        </w:tc>
        <w:tc>
          <w:tcPr>
            <w:tcW w:w="5400" w:type="dxa"/>
          </w:tcPr>
          <w:p w14:paraId="1EC0B0C5" w14:textId="77777777" w:rsidR="00795604" w:rsidRPr="00EF7CF9" w:rsidRDefault="00795604" w:rsidP="00F01ED6">
            <w:pPr>
              <w:pStyle w:val="ProductList-OfferingBody"/>
              <w:jc w:val="center"/>
            </w:pPr>
            <w:r>
              <w:t>25%</w:t>
            </w:r>
          </w:p>
        </w:tc>
      </w:tr>
    </w:tbl>
    <w:bookmarkStart w:id="255" w:name="_Toc457821550"/>
    <w:bookmarkStart w:id="256" w:name="_Toc52348954"/>
    <w:p w14:paraId="6F94C33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F899C39" w14:textId="77777777" w:rsidR="000D47D0" w:rsidRPr="00EF7CF9" w:rsidRDefault="000D47D0" w:rsidP="00F01ED6">
      <w:pPr>
        <w:pStyle w:val="ProductList-Offering2Heading"/>
        <w:tabs>
          <w:tab w:val="clear" w:pos="360"/>
          <w:tab w:val="clear" w:pos="720"/>
          <w:tab w:val="clear" w:pos="1080"/>
        </w:tabs>
        <w:outlineLvl w:val="2"/>
      </w:pPr>
      <w:bookmarkStart w:id="257" w:name="_Toc182409665"/>
      <w:r>
        <w:t xml:space="preserve">Azure </w:t>
      </w:r>
      <w:bookmarkStart w:id="258" w:name="_Hlk119927884"/>
      <w:r>
        <w:t>ExpressRoute</w:t>
      </w:r>
      <w:bookmarkEnd w:id="255"/>
      <w:bookmarkEnd w:id="256"/>
      <w:bookmarkEnd w:id="257"/>
      <w:bookmarkEnd w:id="258"/>
    </w:p>
    <w:p w14:paraId="7D3B0AEC" w14:textId="77777777" w:rsidR="000D47D0" w:rsidRPr="00EF7CF9" w:rsidRDefault="000D47D0" w:rsidP="00F01ED6">
      <w:pPr>
        <w:pStyle w:val="ProductList-Body"/>
        <w:rPr>
          <w:b/>
          <w:color w:val="00188F"/>
        </w:rPr>
      </w:pPr>
      <w:r>
        <w:rPr>
          <w:b/>
          <w:color w:val="00188F"/>
        </w:rPr>
        <w:t>Definições Adicionais</w:t>
      </w:r>
      <w:r w:rsidRPr="00473DD3">
        <w:rPr>
          <w:b/>
          <w:color w:val="00188F"/>
        </w:rPr>
        <w:t>:</w:t>
      </w:r>
    </w:p>
    <w:p w14:paraId="40F4595E"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Ligação</w:t>
      </w:r>
      <w:r w:rsidRPr="00C730A5">
        <w:rPr>
          <w:rFonts w:ascii="Calibri" w:eastAsia="Calibri" w:hAnsi="Calibri" w:cs="Arial"/>
          <w:sz w:val="18"/>
        </w:rPr>
        <w:t>” é o objeto do Azure que associa o Gateway do ExpressRoute a um Circuito Dedicado. Para este SLA, um Gateway do ExpressRoute pode ter Ligações a vários Circuitos Dedicados.</w:t>
      </w:r>
    </w:p>
    <w:p w14:paraId="7915437C"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Circuito Dedicado</w:t>
      </w:r>
      <w:r w:rsidRPr="00C730A5">
        <w:rPr>
          <w:rFonts w:ascii="Calibri" w:eastAsia="Calibri" w:hAnsi="Calibri" w:cs="Arial"/>
          <w:sz w:val="18"/>
        </w:rPr>
        <w:t>” designa uma representação lógica da conectividade oferecida através do Serviço ExpressRoute entre as instalações do Cliente e o Microsoft Azure através de um fornecedor de conectividade ExpressRoute ou diretamente através de uma Porta Direta do ExpressRoute, onde esta conectividade não passa pela Internet pública.</w:t>
      </w:r>
    </w:p>
    <w:p w14:paraId="3FCAF22B"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Período de Indisponibilidade</w:t>
      </w:r>
      <w:r w:rsidRPr="00C730A5">
        <w:rPr>
          <w:rFonts w:ascii="Calibri" w:eastAsia="Calibri" w:hAnsi="Calibri" w:cs="Arial"/>
          <w:sz w:val="18"/>
        </w:rPr>
        <w:t>” é o total de minutos acumulados durante um Período Aplicável para uma determinada subscrição do Microsoft Azure, no qual o Circuito Dedicado está indisponível. Um minuto é considerado indisponível para um determinado Circuito Dedicado se todas as tentativas levadas a cabo pelo Cliente nesse minuto para estabelecer conectividade ao nível de IP ao Gateway do Express Route associado à Rede Virtual falharem durante mais de trinta segundos. O tráfego que flui através de um Circuito Dedicado alternativo numa Configuração de 2 ou Mais Sites não seria considerado período de indisponibilidade para o Circuito Dedicado inativo nesta configuração.</w:t>
      </w:r>
    </w:p>
    <w:p w14:paraId="67B93AD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Gateway ER</w:t>
      </w:r>
      <w:r w:rsidRPr="00C730A5">
        <w:rPr>
          <w:rFonts w:ascii="Calibri" w:eastAsia="Calibri" w:hAnsi="Calibri" w:cs="Arial"/>
          <w:sz w:val="18"/>
        </w:rPr>
        <w:t>” designa um Gateway de Rede Virtual que facilita a conectividade em vários sites entre uma Rede Virtual e um Circuito Dedicado.</w:t>
      </w:r>
    </w:p>
    <w:p w14:paraId="4813B83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Localização de Peering Metropolitano</w:t>
      </w:r>
      <w:r w:rsidRPr="00C730A5">
        <w:rPr>
          <w:rFonts w:ascii="Calibri" w:eastAsia="Calibri" w:hAnsi="Calibri" w:cs="Arial"/>
          <w:sz w:val="18"/>
        </w:rPr>
        <w:t>” é o nome da localidade, incluindo a etiqueta “Metropolitano” que indica que um Circuito Dedicado com esta Localização de Peering Metropolitano chega a duas localizações de peering nessa cidade. Por exemplo, Washington DC Metro, Sydney Metro teriam ligações a dois sites de peering não Metropolitanas nessas cidades.</w:t>
      </w:r>
    </w:p>
    <w:p w14:paraId="378F6CA7"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é o número total de minutos que um determinado Circuito Dedicado está ligado a uma ou mais Redes Virtuais no Microsoft Azure durante um Período Aplicável numa determinada subscrição do Microsoft Azure.</w:t>
      </w:r>
    </w:p>
    <w:p w14:paraId="14480582"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Rede Virtual</w:t>
      </w:r>
      <w:r w:rsidRPr="00C730A5">
        <w:rPr>
          <w:rFonts w:ascii="Calibri" w:eastAsia="Calibri" w:hAnsi="Calibri" w:cs="Arial"/>
          <w:sz w:val="18"/>
        </w:rPr>
        <w:t>” designa uma rede privada virtual que inclui uma coleção de endereços IP definidos pelo utilizador e sub-redes que formam um limite da rede no Microsoft Azure.</w:t>
      </w:r>
    </w:p>
    <w:p w14:paraId="2A08009A" w14:textId="77777777" w:rsidR="003D5599" w:rsidRPr="00C730A5" w:rsidDel="00AA2D86" w:rsidRDefault="003D5599" w:rsidP="003D5599">
      <w:pPr>
        <w:tabs>
          <w:tab w:val="left" w:pos="360"/>
          <w:tab w:val="left" w:pos="720"/>
          <w:tab w:val="left" w:pos="1080"/>
        </w:tabs>
        <w:spacing w:after="0" w:line="240" w:lineRule="auto"/>
        <w:rPr>
          <w:rFonts w:ascii="Calibri" w:eastAsia="Calibri" w:hAnsi="Calibri" w:cs="Arial"/>
          <w:sz w:val="18"/>
        </w:rPr>
      </w:pPr>
    </w:p>
    <w:p w14:paraId="100BEC84" w14:textId="77777777" w:rsidR="003D5599" w:rsidRPr="00C730A5" w:rsidDel="00B90AF1"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sz w:val="18"/>
        </w:rPr>
        <w:t>O SLA do ExpressRoute tem três categorias:</w:t>
      </w:r>
    </w:p>
    <w:p w14:paraId="347D2BE4"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C730A5">
        <w:rPr>
          <w:rFonts w:ascii="Calibri" w:eastAsia="Calibri" w:hAnsi="Calibri" w:cs="Arial"/>
          <w:sz w:val="18"/>
          <w:szCs w:val="18"/>
        </w:rPr>
        <w:t>“</w:t>
      </w:r>
      <w:r w:rsidRPr="00C730A5">
        <w:rPr>
          <w:rFonts w:ascii="Calibri" w:eastAsia="Calibri" w:hAnsi="Calibri" w:cs="Arial"/>
          <w:b/>
          <w:bCs/>
          <w:color w:val="00188F"/>
          <w:sz w:val="18"/>
          <w:szCs w:val="18"/>
        </w:rPr>
        <w:t>Configuração de 2 ou Mais Locais</w:t>
      </w:r>
      <w:r w:rsidRPr="00C730A5">
        <w:rPr>
          <w:rFonts w:ascii="Calibri" w:eastAsia="Calibri" w:hAnsi="Calibri" w:cs="Arial"/>
          <w:sz w:val="18"/>
          <w:szCs w:val="18"/>
        </w:rPr>
        <w:t>”</w:t>
      </w:r>
      <w:r w:rsidRPr="00C730A5">
        <w:rPr>
          <w:rFonts w:ascii="Calibri" w:eastAsia="Calibri" w:hAnsi="Calibri" w:cs="Arial"/>
          <w:b/>
          <w:bCs/>
          <w:sz w:val="18"/>
          <w:szCs w:val="18"/>
        </w:rPr>
        <w:t>:</w:t>
      </w:r>
      <w:r w:rsidRPr="00C730A5">
        <w:rPr>
          <w:rFonts w:ascii="Calibri" w:eastAsia="Calibri" w:hAnsi="Calibri" w:cs="Arial"/>
          <w:sz w:val="18"/>
          <w:szCs w:val="18"/>
        </w:rPr>
        <w:t xml:space="preserve"> ligações que chegam a dois ou mais sites de peering diferentes com Circuitos Dedicados não-Metropolitanos. Um exemplo de ligações a sites que se qualificariam para as configurações de 2 ou mais sites seria Washington DC2 e Chicago, ou Chicago e Chicago 2, etc. Adicionar um terceiro site diferente é elegível para esta configuração. As ligações a uma localização não metropolitana e metropolitana seriam consideradas uma configuração de </w:t>
      </w:r>
      <w:r>
        <w:rPr>
          <w:rFonts w:ascii="Calibri" w:eastAsia="Calibri" w:hAnsi="Calibri" w:cs="Arial"/>
          <w:sz w:val="18"/>
          <w:szCs w:val="18"/>
        </w:rPr>
        <w:t>“</w:t>
      </w:r>
      <w:r w:rsidRPr="00C730A5">
        <w:rPr>
          <w:rFonts w:ascii="Calibri" w:eastAsia="Calibri" w:hAnsi="Calibri" w:cs="Arial"/>
          <w:sz w:val="18"/>
          <w:szCs w:val="18"/>
        </w:rPr>
        <w:t>Site metropolitano</w:t>
      </w:r>
      <w:r>
        <w:rPr>
          <w:rFonts w:ascii="Calibri" w:eastAsia="Calibri" w:hAnsi="Calibri" w:cs="Arial"/>
          <w:sz w:val="18"/>
          <w:szCs w:val="18"/>
        </w:rPr>
        <w:t>”</w:t>
      </w:r>
      <w:r w:rsidRPr="00C730A5">
        <w:rPr>
          <w:rFonts w:ascii="Calibri" w:eastAsia="Calibri" w:hAnsi="Calibri" w:cs="Arial"/>
          <w:sz w:val="18"/>
          <w:szCs w:val="18"/>
        </w:rPr>
        <w:t xml:space="preserve"> e não uma Configuração de 2 ou Mais Sites.</w:t>
      </w:r>
    </w:p>
    <w:p w14:paraId="41099C8D"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do Site Metropolitano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numa única Localização de Peering Metropolitano.</w:t>
      </w:r>
    </w:p>
    <w:p w14:paraId="28C79515"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de Site Único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chegam a uma e só uma Localização de Peering (não Metropolitana).</w:t>
      </w:r>
    </w:p>
    <w:p w14:paraId="0BAF0187" w14:textId="77777777" w:rsidR="003D5599" w:rsidRPr="00C730A5" w:rsidRDefault="003D5599" w:rsidP="003D5599">
      <w:pPr>
        <w:tabs>
          <w:tab w:val="left" w:pos="360"/>
          <w:tab w:val="left" w:pos="720"/>
          <w:tab w:val="left" w:pos="1080"/>
        </w:tabs>
        <w:spacing w:after="0" w:line="240" w:lineRule="auto"/>
        <w:ind w:left="360"/>
        <w:contextualSpacing/>
        <w:rPr>
          <w:rFonts w:ascii="Calibri" w:eastAsia="Calibri" w:hAnsi="Calibri" w:cs="Arial"/>
          <w:sz w:val="18"/>
        </w:rPr>
      </w:pPr>
    </w:p>
    <w:p w14:paraId="53DA42AD"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Crédito de Serviço</w:t>
      </w:r>
      <w:r w:rsidRPr="00C730A5">
        <w:rPr>
          <w:rFonts w:ascii="Calibri" w:eastAsia="Calibri" w:hAnsi="Calibri" w:cs="Arial"/>
          <w:sz w:val="18"/>
        </w:rPr>
        <w:t xml:space="preserve"> Os seguintes Níveis de Serviço e Créditos de Serviço são aplicáveis à utilização que o Cliente faz de cada Circuito Dedicado no Serviço consoante a configuração do site. Os Créditos de Serviço só se aplicam numa arquitetura de múltiplos circuitos ou de site se os circuitos e/ou os sites estiverem inativos em simultâneo, o que resulta na perda total de conectividade com o gateway ligado.</w:t>
      </w:r>
    </w:p>
    <w:p w14:paraId="773CCE3F"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72C13A33"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szCs w:val="18"/>
        </w:rPr>
      </w:pPr>
      <w:r w:rsidRPr="00C730A5">
        <w:rPr>
          <w:rFonts w:ascii="Calibri" w:eastAsia="Calibri" w:hAnsi="Calibri" w:cs="Arial"/>
          <w:b/>
          <w:bCs/>
          <w:color w:val="00188F"/>
          <w:sz w:val="18"/>
          <w:szCs w:val="18"/>
        </w:rPr>
        <w:t>Pelo menos dois Circuitos Dedicados numa Configuração de 2 ou Mais Sites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7675FE02" w14:textId="77777777" w:rsidTr="00BD07C5">
        <w:trPr>
          <w:tblHeader/>
        </w:trPr>
        <w:tc>
          <w:tcPr>
            <w:tcW w:w="5400" w:type="dxa"/>
            <w:shd w:val="clear" w:color="auto" w:fill="0072C6"/>
          </w:tcPr>
          <w:p w14:paraId="79E2A55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06EE13B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DD0B925" w14:textId="77777777" w:rsidTr="00BD07C5">
        <w:tc>
          <w:tcPr>
            <w:tcW w:w="5400" w:type="dxa"/>
          </w:tcPr>
          <w:p w14:paraId="279E7FF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99,95%</w:t>
            </w:r>
          </w:p>
        </w:tc>
        <w:tc>
          <w:tcPr>
            <w:tcW w:w="5400" w:type="dxa"/>
          </w:tcPr>
          <w:p w14:paraId="06A04702"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4B0652C0" w14:textId="77777777" w:rsidTr="00BD07C5">
        <w:tc>
          <w:tcPr>
            <w:tcW w:w="5400" w:type="dxa"/>
          </w:tcPr>
          <w:p w14:paraId="5B5B9ABB"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44BCD0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4CA16039"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65F547B1"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Metropolitano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0B6E1ADB" w14:textId="77777777" w:rsidTr="00BD07C5">
        <w:trPr>
          <w:tblHeader/>
        </w:trPr>
        <w:tc>
          <w:tcPr>
            <w:tcW w:w="5400" w:type="dxa"/>
            <w:shd w:val="clear" w:color="auto" w:fill="0072C6"/>
          </w:tcPr>
          <w:p w14:paraId="0DCC3B1A"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6F041A33"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2328D430" w14:textId="77777777" w:rsidTr="00BD07C5">
        <w:tc>
          <w:tcPr>
            <w:tcW w:w="5400" w:type="dxa"/>
          </w:tcPr>
          <w:p w14:paraId="1A08EEA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3B7F4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1173FEE5" w14:textId="77777777" w:rsidTr="00BD07C5">
        <w:tc>
          <w:tcPr>
            <w:tcW w:w="5400" w:type="dxa"/>
          </w:tcPr>
          <w:p w14:paraId="7061001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544C62B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2A0646B3"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4DD2FAA6"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Único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4B157ABF" w14:textId="77777777" w:rsidTr="00BD07C5">
        <w:trPr>
          <w:tblHeader/>
        </w:trPr>
        <w:tc>
          <w:tcPr>
            <w:tcW w:w="5400" w:type="dxa"/>
            <w:shd w:val="clear" w:color="auto" w:fill="0072C6"/>
          </w:tcPr>
          <w:p w14:paraId="31E67FEE"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72C6AE31"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84D194A" w14:textId="77777777" w:rsidTr="00BD07C5">
        <w:tc>
          <w:tcPr>
            <w:tcW w:w="5400" w:type="dxa"/>
          </w:tcPr>
          <w:p w14:paraId="1212CF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76AC3A7F"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0611BE5B" w14:textId="77777777" w:rsidTr="00BD07C5">
        <w:tc>
          <w:tcPr>
            <w:tcW w:w="5400" w:type="dxa"/>
          </w:tcPr>
          <w:p w14:paraId="50D00F2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95%</w:t>
            </w:r>
          </w:p>
        </w:tc>
        <w:tc>
          <w:tcPr>
            <w:tcW w:w="5400" w:type="dxa"/>
          </w:tcPr>
          <w:p w14:paraId="58E28B9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74DD4DB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C6BAE8" w14:textId="73F1C715" w:rsidR="002B2E32" w:rsidRDefault="002B2E32" w:rsidP="002B2E32">
      <w:pPr>
        <w:pStyle w:val="ProductList-Offering2Heading"/>
        <w:tabs>
          <w:tab w:val="clear" w:pos="360"/>
          <w:tab w:val="clear" w:pos="720"/>
          <w:tab w:val="clear" w:pos="1080"/>
        </w:tabs>
        <w:outlineLvl w:val="2"/>
      </w:pPr>
      <w:bookmarkStart w:id="259" w:name="_Toc182409666"/>
      <w:r>
        <w:t>Azure ExpressRoute</w:t>
      </w:r>
      <w:r w:rsidR="002F249A">
        <w:t xml:space="preserve"> Traffic Collector</w:t>
      </w:r>
      <w:bookmarkEnd w:id="259"/>
    </w:p>
    <w:p w14:paraId="5E627272" w14:textId="77777777" w:rsidR="003F7175" w:rsidRPr="005C673D" w:rsidRDefault="003F7175" w:rsidP="003F7175">
      <w:pPr>
        <w:pStyle w:val="ProductList-Body"/>
        <w:rPr>
          <w:rFonts w:ascii="Calibri" w:hAnsi="Calibri" w:cs="Calibri"/>
          <w:b/>
          <w:color w:val="00188F"/>
        </w:rPr>
      </w:pPr>
      <w:r>
        <w:rPr>
          <w:rFonts w:ascii="Calibri" w:hAnsi="Calibri" w:cs="Calibri"/>
          <w:b/>
          <w:color w:val="00188F"/>
        </w:rPr>
        <w:t>Definições Adicionais</w:t>
      </w:r>
      <w:r>
        <w:rPr>
          <w:rFonts w:ascii="Calibri" w:hAnsi="Calibri" w:cs="Calibri"/>
        </w:rPr>
        <w:t>:</w:t>
      </w:r>
    </w:p>
    <w:p w14:paraId="01CD76EE" w14:textId="77777777" w:rsidR="003F7175" w:rsidRPr="005C673D" w:rsidRDefault="003F7175" w:rsidP="003F7175">
      <w:pPr>
        <w:pStyle w:val="ProductList-Body"/>
        <w:spacing w:after="40"/>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designa uma representação lógica da conectividade oferecida através do Serviço ExpressRoute entre as instalações do Cliente e o Microsoft Azure através da conectividade ExpressRoute Direct, onde esta conectividade não interfere com a Internet pública.</w:t>
      </w:r>
    </w:p>
    <w:p w14:paraId="42583112" w14:textId="77777777" w:rsidR="003F7175" w:rsidRPr="005C673D" w:rsidRDefault="003F7175" w:rsidP="003F7175">
      <w:pPr>
        <w:pStyle w:val="ProductList-ClauseHeading"/>
        <w:rPr>
          <w:rFonts w:ascii="Calibri" w:hAnsi="Calibri" w:cs="Calibri"/>
          <w:b w:val="0"/>
          <w:bCs/>
          <w:color w:val="auto"/>
        </w:rPr>
      </w:pPr>
      <w:r w:rsidRPr="00CC151B">
        <w:rPr>
          <w:rFonts w:ascii="Calibri" w:hAnsi="Calibri" w:cs="Calibri"/>
          <w:b w:val="0"/>
          <w:bCs/>
        </w:rPr>
        <w:t>“</w:t>
      </w:r>
      <w:r>
        <w:rPr>
          <w:rFonts w:ascii="Calibri" w:hAnsi="Calibri" w:cs="Calibri"/>
        </w:rPr>
        <w:t>ExpressRoute Traffic Collector</w:t>
      </w:r>
      <w:r w:rsidRPr="00CC151B">
        <w:rPr>
          <w:rFonts w:ascii="Calibri" w:hAnsi="Calibri" w:cs="Calibri"/>
          <w:b w:val="0"/>
          <w:bCs/>
        </w:rPr>
        <w:t>”</w:t>
      </w:r>
      <w:r>
        <w:rPr>
          <w:rFonts w:ascii="Calibri" w:hAnsi="Calibri" w:cs="Calibri"/>
        </w:rPr>
        <w:t xml:space="preserve"> </w:t>
      </w:r>
      <w:r>
        <w:rPr>
          <w:rFonts w:ascii="Calibri" w:hAnsi="Calibri" w:cs="Calibri"/>
          <w:b w:val="0"/>
          <w:bCs/>
          <w:color w:val="auto"/>
        </w:rPr>
        <w:t>designa um coletor de tráfego que facilita a recolha de registos de fluxos sobre o tráfego IP que atravessa o circuito dedicado.</w:t>
      </w:r>
    </w:p>
    <w:p w14:paraId="4C5F6A9D" w14:textId="77777777" w:rsidR="003F7175" w:rsidRPr="005C673D" w:rsidRDefault="003F7175" w:rsidP="003F7175">
      <w:pPr>
        <w:pStyle w:val="ProductList-Body"/>
        <w:spacing w:after="40"/>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ExpressRoute Traffic Controller está ligado a um ou mais Circuitos Dedicados no Microsoft Azure durante um Período Aplicável numa determinada subscrição do Microsoft Azure.</w:t>
      </w:r>
    </w:p>
    <w:p w14:paraId="0389E92C" w14:textId="77777777" w:rsidR="003F7175" w:rsidRPr="005C673D" w:rsidRDefault="003F7175" w:rsidP="003F7175">
      <w:pPr>
        <w:pStyle w:val="ProductList-Body"/>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designa o número total de minutos durante o Máximo de Minutos Disponíveis em que os dados no ExpressRoute Traffic Collector estão indisponíveis durante os quais não são entregues registos de fluxos recolhidos durante mais de 5 minutos.</w:t>
      </w:r>
    </w:p>
    <w:p w14:paraId="5CC2F22F" w14:textId="77777777" w:rsidR="003F7175" w:rsidRPr="005C673D" w:rsidRDefault="003F7175" w:rsidP="003F7175">
      <w:pPr>
        <w:pStyle w:val="ProductList-Body"/>
        <w:rPr>
          <w:rFonts w:ascii="Calibri" w:hAnsi="Calibri" w:cs="Calibri"/>
        </w:rPr>
      </w:pPr>
      <w:r w:rsidRPr="00CC151B">
        <w:rPr>
          <w:rFonts w:ascii="Calibri" w:hAnsi="Calibri" w:cs="Calibri"/>
        </w:rPr>
        <w:t xml:space="preserve">A </w:t>
      </w:r>
      <w:r>
        <w:rPr>
          <w:rFonts w:ascii="Calibri" w:hAnsi="Calibri" w:cs="Calibri"/>
        </w:rPr>
        <w:t>“</w:t>
      </w:r>
      <w:r>
        <w:rPr>
          <w:rFonts w:ascii="Calibri" w:hAnsi="Calibri" w:cs="Calibri"/>
          <w:b/>
          <w:color w:val="00188F"/>
        </w:rPr>
        <w:t>Percentagem de Disponibilidade</w:t>
      </w:r>
      <w:r>
        <w:rPr>
          <w:rFonts w:ascii="Calibri" w:hAnsi="Calibri" w:cs="Calibri"/>
        </w:rPr>
        <w:t>” é calculada através da seguinte fórmula:</w:t>
      </w:r>
    </w:p>
    <w:p w14:paraId="3DD1CD91" w14:textId="77777777" w:rsidR="003F7175" w:rsidRPr="00EF7CF9" w:rsidRDefault="003F7175" w:rsidP="003F7175">
      <w:pPr>
        <w:pStyle w:val="ProductList-Body"/>
      </w:pPr>
    </w:p>
    <w:p w14:paraId="34C7FB02" w14:textId="77777777" w:rsidR="003F7175" w:rsidRPr="00EF7CF9" w:rsidRDefault="00000000" w:rsidP="003F717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F55291" w14:textId="77777777" w:rsidR="003F7175" w:rsidRPr="005C673D" w:rsidRDefault="003F7175" w:rsidP="003F7175">
      <w:pPr>
        <w:pStyle w:val="ProductList-Body"/>
        <w:rPr>
          <w:rFonts w:ascii="Calibri" w:hAnsi="Calibri" w:cs="Calibri"/>
        </w:rPr>
      </w:pPr>
      <w:r>
        <w:rPr>
          <w:rFonts w:ascii="Calibri" w:hAnsi="Calibri" w:cs="Calibri"/>
          <w:b/>
          <w:color w:val="00188F"/>
        </w:rPr>
        <w:t>Crédito de Serviço</w:t>
      </w:r>
      <w:r>
        <w:rPr>
          <w:rFonts w:ascii="Calibri" w:hAnsi="Calibri" w:cs="Calibri"/>
        </w:rPr>
        <w:t xml:space="preserve"> Os seguintes Níveis de Serviço e Créditos de Serviço são aplicáveis à utilização que o Cliente faz do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63B8" w:rsidRPr="00B44CF9" w14:paraId="119775B1" w14:textId="77777777" w:rsidTr="00307613">
        <w:trPr>
          <w:tblHeader/>
        </w:trPr>
        <w:tc>
          <w:tcPr>
            <w:tcW w:w="5400" w:type="dxa"/>
            <w:shd w:val="clear" w:color="auto" w:fill="0072C6"/>
          </w:tcPr>
          <w:p w14:paraId="63D0A4F3" w14:textId="77777777" w:rsidR="00E163B8" w:rsidRPr="00EF7CF9" w:rsidRDefault="00E163B8" w:rsidP="003076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654E30E" w14:textId="77777777" w:rsidR="00E163B8" w:rsidRPr="00EF7CF9" w:rsidRDefault="00E163B8" w:rsidP="00307613">
            <w:pPr>
              <w:pStyle w:val="ProductList-OfferingBody"/>
              <w:jc w:val="center"/>
              <w:rPr>
                <w:color w:val="FFFFFF" w:themeColor="background1"/>
              </w:rPr>
            </w:pPr>
            <w:r>
              <w:rPr>
                <w:color w:val="FFFFFF" w:themeColor="background1"/>
              </w:rPr>
              <w:t>Crédito de Serviço</w:t>
            </w:r>
          </w:p>
        </w:tc>
      </w:tr>
      <w:tr w:rsidR="00E163B8" w:rsidRPr="00B44CF9" w14:paraId="6907A536" w14:textId="77777777" w:rsidTr="00307613">
        <w:tc>
          <w:tcPr>
            <w:tcW w:w="5400" w:type="dxa"/>
          </w:tcPr>
          <w:p w14:paraId="7A8AC676" w14:textId="5CD24D8E" w:rsidR="00E163B8" w:rsidRPr="00EF7CF9" w:rsidRDefault="00E163B8" w:rsidP="00307613">
            <w:pPr>
              <w:pStyle w:val="ProductList-OfferingBody"/>
              <w:jc w:val="center"/>
            </w:pPr>
            <w:r>
              <w:t>&lt; 99,9%</w:t>
            </w:r>
          </w:p>
        </w:tc>
        <w:tc>
          <w:tcPr>
            <w:tcW w:w="5400" w:type="dxa"/>
          </w:tcPr>
          <w:p w14:paraId="38ECA1CA" w14:textId="77777777" w:rsidR="00E163B8" w:rsidRPr="00EF7CF9" w:rsidRDefault="00E163B8" w:rsidP="00307613">
            <w:pPr>
              <w:pStyle w:val="ProductList-OfferingBody"/>
              <w:jc w:val="center"/>
            </w:pPr>
            <w:r>
              <w:t>10%</w:t>
            </w:r>
          </w:p>
        </w:tc>
      </w:tr>
      <w:tr w:rsidR="00E163B8" w:rsidRPr="00B44CF9" w14:paraId="5020690B" w14:textId="77777777" w:rsidTr="00307613">
        <w:tc>
          <w:tcPr>
            <w:tcW w:w="5400" w:type="dxa"/>
          </w:tcPr>
          <w:p w14:paraId="6559F8DC" w14:textId="77777777" w:rsidR="00E163B8" w:rsidRPr="00EF7CF9" w:rsidRDefault="00E163B8" w:rsidP="00307613">
            <w:pPr>
              <w:pStyle w:val="ProductList-OfferingBody"/>
              <w:jc w:val="center"/>
            </w:pPr>
            <w:r>
              <w:t>&lt; 99%</w:t>
            </w:r>
          </w:p>
        </w:tc>
        <w:tc>
          <w:tcPr>
            <w:tcW w:w="5400" w:type="dxa"/>
          </w:tcPr>
          <w:p w14:paraId="47ACED82" w14:textId="77777777" w:rsidR="00E163B8" w:rsidRPr="00EF7CF9" w:rsidRDefault="00E163B8" w:rsidP="00307613">
            <w:pPr>
              <w:pStyle w:val="ProductList-OfferingBody"/>
              <w:jc w:val="center"/>
            </w:pPr>
            <w:r>
              <w:t>25%</w:t>
            </w:r>
          </w:p>
        </w:tc>
      </w:tr>
    </w:tbl>
    <w:p w14:paraId="066ABC84" w14:textId="77777777" w:rsidR="00E163B8" w:rsidRPr="00EF7CF9" w:rsidRDefault="00E163B8" w:rsidP="00E163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A61AC2" w14:textId="393EAEF1" w:rsidR="00B74B20" w:rsidRDefault="00B74B20" w:rsidP="00F01ED6">
      <w:pPr>
        <w:pStyle w:val="ProductList-Offering2Heading"/>
        <w:tabs>
          <w:tab w:val="clear" w:pos="360"/>
          <w:tab w:val="clear" w:pos="720"/>
          <w:tab w:val="clear" w:pos="1080"/>
        </w:tabs>
        <w:outlineLvl w:val="2"/>
        <w:rPr>
          <w:bdr w:val="none" w:sz="0" w:space="0" w:color="auto" w:frame="1"/>
        </w:rPr>
      </w:pPr>
      <w:bookmarkStart w:id="260" w:name="_Toc182409667"/>
      <w:r>
        <w:t xml:space="preserve">Camada Premium dos </w:t>
      </w:r>
      <w:r>
        <w:rPr>
          <w:bdr w:val="none" w:sz="0" w:space="0" w:color="auto" w:frame="1"/>
        </w:rPr>
        <w:t>Ficheiros do Azure</w:t>
      </w:r>
      <w:bookmarkEnd w:id="260"/>
    </w:p>
    <w:p w14:paraId="0359C8CD"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0CC0114F" w14:textId="7BE457C3"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80305">
        <w:rPr>
          <w:sz w:val="18"/>
        </w:rPr>
        <w:t>“</w:t>
      </w:r>
      <w:r>
        <w:rPr>
          <w:rFonts w:ascii="Calibri" w:eastAsia="Times New Roman" w:hAnsi="Calibri" w:cs="Calibri"/>
          <w:b/>
          <w:bCs/>
          <w:color w:val="00188F"/>
          <w:sz w:val="18"/>
          <w:szCs w:val="18"/>
          <w:bdr w:val="none" w:sz="0" w:space="0" w:color="auto" w:frame="1"/>
        </w:rPr>
        <w:t>Partilha de Ficheiros</w:t>
      </w:r>
      <w:r w:rsidRPr="00380305">
        <w:rPr>
          <w:sz w:val="18"/>
        </w:rPr>
        <w:t>”</w:t>
      </w:r>
      <w:r>
        <w:rPr>
          <w:rFonts w:ascii="Calibri" w:eastAsia="Times New Roman" w:hAnsi="Calibri" w:cs="Calibri"/>
          <w:color w:val="242424"/>
          <w:sz w:val="18"/>
          <w:szCs w:val="18"/>
        </w:rPr>
        <w:t> é um recurso de armazenamento lógico nos Ficheiros do Azure que contém um sistema de ficheiros e é utilizado para armazenar dados.</w:t>
      </w:r>
    </w:p>
    <w:p w14:paraId="3F64B3C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Localmente Redundante (LRS)</w:t>
      </w:r>
      <w:r>
        <w:rPr>
          <w:rFonts w:ascii="Calibri" w:eastAsia="Times New Roman" w:hAnsi="Calibri" w:cs="Calibri"/>
          <w:color w:val="242424"/>
          <w:sz w:val="18"/>
          <w:szCs w:val="18"/>
        </w:rPr>
        <w:t>” é uma definição que indica que os dados são replicados de forma síncrona apenas numa Região Primária.</w:t>
      </w:r>
    </w:p>
    <w:p w14:paraId="1552B0D8"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Entre Zonas (ZRS)</w:t>
      </w:r>
      <w:r w:rsidRPr="00380305">
        <w:rPr>
          <w:sz w:val="18"/>
        </w:rPr>
        <w:t>”</w:t>
      </w:r>
      <w:r>
        <w:rPr>
          <w:rFonts w:ascii="Calibri" w:eastAsia="Times New Roman" w:hAnsi="Calibri" w:cs="Calibri"/>
          <w:color w:val="242424"/>
          <w:sz w:val="18"/>
          <w:szCs w:val="18"/>
        </w:rPr>
        <w:t> é uma definição que indica que os dados são replicados em múltiplas instalações. Estas instalações podem estar na mesma região geográfica ou em duas regiões geográficas.</w:t>
      </w:r>
    </w:p>
    <w:p w14:paraId="2056FB21"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Máximo de Minutos Disponíveis</w:t>
      </w:r>
      <w:r w:rsidRPr="00380305">
        <w:rPr>
          <w:sz w:val="18"/>
        </w:rPr>
        <w:t>”</w:t>
      </w:r>
      <w:r>
        <w:rPr>
          <w:rFonts w:ascii="Calibri" w:eastAsia="Times New Roman" w:hAnsi="Calibri" w:cs="Calibri"/>
          <w:color w:val="242424"/>
          <w:sz w:val="18"/>
          <w:szCs w:val="18"/>
        </w:rPr>
        <w:t> é o número total de minutos durante os quais uma determinada Partilha de Ficheiros é implementada pelo Cliente numa determinada subscrição do Microsoft Azure durante um Período Aplicável.</w:t>
      </w:r>
    </w:p>
    <w:p w14:paraId="43ECDE5B"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xml:space="preserve">O </w:t>
      </w:r>
      <w:r w:rsidRPr="00380305">
        <w:rPr>
          <w:sz w:val="18"/>
        </w:rPr>
        <w:t>“</w:t>
      </w:r>
      <w:bookmarkStart w:id="261" w:name="x__Hlk87495761"/>
      <w:r>
        <w:rPr>
          <w:rFonts w:ascii="Calibri" w:eastAsia="Times New Roman" w:hAnsi="Calibri" w:cs="Calibri"/>
          <w:b/>
          <w:bCs/>
          <w:color w:val="00188F"/>
          <w:sz w:val="18"/>
          <w:szCs w:val="18"/>
          <w:bdr w:val="none" w:sz="0" w:space="0" w:color="auto" w:frame="1"/>
        </w:rPr>
        <w:t>Problema do Lado do </w:t>
      </w:r>
      <w:bookmarkEnd w:id="261"/>
      <w:r>
        <w:rPr>
          <w:rFonts w:ascii="Calibri" w:eastAsia="Times New Roman" w:hAnsi="Calibri" w:cs="Calibri"/>
          <w:b/>
          <w:bCs/>
          <w:color w:val="00188F"/>
          <w:sz w:val="18"/>
          <w:szCs w:val="18"/>
          <w:bdr w:val="none" w:sz="0" w:space="0" w:color="auto" w:frame="1"/>
        </w:rPr>
        <w:t>Serviço</w:t>
      </w:r>
      <w:r w:rsidRPr="00380305">
        <w:rPr>
          <w:sz w:val="18"/>
        </w:rPr>
        <w:t>”</w:t>
      </w:r>
      <w:r>
        <w:rPr>
          <w:rFonts w:ascii="Calibri" w:eastAsia="Times New Roman" w:hAnsi="Calibri" w:cs="Calibri"/>
          <w:color w:val="242424"/>
          <w:sz w:val="18"/>
          <w:szCs w:val="18"/>
        </w:rPr>
        <w:t> é comunicado quando um pedido falha com o tipo de resposta ServerOtherError, ServerBusyError ou ServerTimeoutError.</w:t>
      </w:r>
    </w:p>
    <w:p w14:paraId="711B19D4"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Período de Indisponibilidade</w:t>
      </w:r>
      <w:r w:rsidRPr="00380305">
        <w:rPr>
          <w:sz w:val="18"/>
        </w:rPr>
        <w:t>”</w:t>
      </w:r>
      <w:r>
        <w:rPr>
          <w:rFonts w:ascii="Calibri" w:eastAsia="Times New Roman" w:hAnsi="Calibri" w:cs="Calibri"/>
          <w:color w:val="242424"/>
          <w:sz w:val="18"/>
          <w:szCs w:val="18"/>
        </w:rPr>
        <w:t> é o número total de minutos no Período Aplicável durante o qual todos os pedidos com base na Partilha de Ficheiros falharam devido a um Problema do Lado do Servidor.</w:t>
      </w:r>
    </w:p>
    <w:p w14:paraId="37BAD2E0"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Percentagem de Período de Disponibilidade</w:t>
      </w:r>
      <w:r w:rsidRPr="00380305">
        <w:rPr>
          <w:sz w:val="18"/>
        </w:rPr>
        <w:t>”</w:t>
      </w:r>
      <w:r w:rsidRPr="00473DD3">
        <w:rPr>
          <w:sz w:val="18"/>
        </w:rPr>
        <w:t>:</w:t>
      </w:r>
      <w:r>
        <w:rPr>
          <w:rFonts w:ascii="Calibri" w:eastAsia="Times New Roman" w:hAnsi="Calibri" w:cs="Calibri"/>
          <w:color w:val="242424"/>
          <w:sz w:val="18"/>
          <w:szCs w:val="18"/>
        </w:rPr>
        <w:t xml:space="preserve"> A Percentagem de Período de Disponibilidade é calculada utilizando a seguinte fórmula:</w:t>
      </w:r>
    </w:p>
    <w:p w14:paraId="5019014C" w14:textId="77777777" w:rsidR="00844254" w:rsidRDefault="00844254" w:rsidP="00B74B20">
      <w:pPr>
        <w:shd w:val="clear" w:color="auto" w:fill="FFFFFF"/>
        <w:spacing w:after="0" w:line="240" w:lineRule="auto"/>
        <w:rPr>
          <w:rFonts w:ascii="Calibri" w:eastAsia="Times New Roman" w:hAnsi="Calibri" w:cs="Calibri"/>
          <w:color w:val="242424"/>
          <w:sz w:val="18"/>
          <w:szCs w:val="18"/>
        </w:rPr>
      </w:pPr>
    </w:p>
    <w:p w14:paraId="1538B4C4" w14:textId="77777777" w:rsidR="00B74B20" w:rsidRDefault="00000000" w:rsidP="00B74B20">
      <w:pPr>
        <w:shd w:val="clear" w:color="auto" w:fill="FFFFFF"/>
        <w:spacing w:before="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7B916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Aplicam-se os seguintes Níveis de Serviço e Créditos de Serviço à utilização, por parte do Cliente, da Partilha de Ficheiros com a Camada Premium ao utilizar o Armazenamento Redundante por Zona (ZRS) ou o Armazenamento Localmente Redundante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B74B20" w14:paraId="17EC8B7D"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6DC75" w14:textId="6FE7BB76"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Percentagem de Período de Disponibilidade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07245564" w14:textId="77777777"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B74B20" w14:paraId="368CC13A"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AFE9B0"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A4F661"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B74B20" w14:paraId="77D9416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DDADAE"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5CBD5B"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4AEAAC3" w14:textId="77777777" w:rsidR="00B74B20" w:rsidRPr="00EF7CF9" w:rsidRDefault="00B74B20" w:rsidP="00B74B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C2AD44" w14:textId="44D55837" w:rsidR="004005AF" w:rsidRPr="00EF7CF9" w:rsidRDefault="004005AF" w:rsidP="00F01ED6">
      <w:pPr>
        <w:pStyle w:val="ProductList-Offering2Heading"/>
        <w:tabs>
          <w:tab w:val="clear" w:pos="360"/>
          <w:tab w:val="clear" w:pos="720"/>
          <w:tab w:val="clear" w:pos="1080"/>
        </w:tabs>
        <w:outlineLvl w:val="2"/>
      </w:pPr>
      <w:bookmarkStart w:id="262" w:name="_Toc182409668"/>
      <w:r>
        <w:t>Azure Firewall</w:t>
      </w:r>
      <w:bookmarkEnd w:id="229"/>
      <w:bookmarkEnd w:id="230"/>
      <w:bookmarkEnd w:id="262"/>
    </w:p>
    <w:p w14:paraId="107DEEB6" w14:textId="77777777" w:rsidR="004005AF" w:rsidRPr="00EF7CF9" w:rsidRDefault="004005AF" w:rsidP="00F01ED6">
      <w:pPr>
        <w:pStyle w:val="ProductList-Body"/>
      </w:pPr>
      <w:r>
        <w:rPr>
          <w:b/>
          <w:color w:val="00188F"/>
        </w:rPr>
        <w:t>Definições Adicionais</w:t>
      </w:r>
      <w:r w:rsidRPr="00473DD3">
        <w:rPr>
          <w:b/>
          <w:color w:val="00188F"/>
        </w:rPr>
        <w:t>:</w:t>
      </w:r>
    </w:p>
    <w:p w14:paraId="4A3B69E6" w14:textId="66296A94" w:rsidR="004005AF" w:rsidRPr="00E9584A" w:rsidRDefault="00380305" w:rsidP="00F01ED6">
      <w:pPr>
        <w:pStyle w:val="ProductList-Body"/>
      </w:pPr>
      <w:r>
        <w:t>“</w:t>
      </w:r>
      <w:r w:rsidR="004005AF">
        <w:rPr>
          <w:b/>
          <w:color w:val="00188F"/>
        </w:rPr>
        <w:t>Serviço Azure Firewall</w:t>
      </w:r>
      <w:r>
        <w:t>”</w:t>
      </w:r>
      <w:r w:rsidR="004005AF">
        <w:rPr>
          <w:b/>
          <w:color w:val="00188F"/>
        </w:rPr>
        <w:t xml:space="preserve"> </w:t>
      </w:r>
      <w:r w:rsidR="004005AF">
        <w:t>designa uma instância da firewall lógica implementada numa Rede Virtual do cliente.</w:t>
      </w:r>
    </w:p>
    <w:p w14:paraId="645A75B8" w14:textId="77777777" w:rsidR="004005AF" w:rsidRPr="008809A5" w:rsidRDefault="004005AF" w:rsidP="00F01ED6">
      <w:pPr>
        <w:pStyle w:val="ProductList-Body"/>
        <w:rPr>
          <w:b/>
          <w:bCs/>
          <w:color w:val="00188F"/>
          <w:sz w:val="12"/>
          <w:szCs w:val="12"/>
        </w:rPr>
      </w:pPr>
    </w:p>
    <w:p w14:paraId="7D62F386" w14:textId="07808C7F" w:rsidR="004005AF" w:rsidRPr="00ED4527" w:rsidRDefault="00EE6E3C" w:rsidP="00F01ED6">
      <w:pPr>
        <w:pStyle w:val="ProductList-Body"/>
        <w:rPr>
          <w:b/>
          <w:bCs/>
          <w:color w:val="00188F"/>
        </w:rPr>
      </w:pPr>
      <w:r>
        <w:rPr>
          <w:b/>
          <w:bCs/>
          <w:color w:val="00188F"/>
        </w:rPr>
        <w:t>Cálculo do Período de Disponibilidade e Níveis de Serviço para o Serviço Azure Firewall implementado numa única Zona de Disponibilidade</w:t>
      </w:r>
    </w:p>
    <w:p w14:paraId="58255A28" w14:textId="60E88F0E" w:rsidR="004005AF" w:rsidRPr="00A2017D" w:rsidRDefault="00380305" w:rsidP="00F01ED6">
      <w:pPr>
        <w:pStyle w:val="ProductList-Body"/>
      </w:pPr>
      <w:r>
        <w:t>“</w:t>
      </w:r>
      <w:r w:rsidR="004005AF">
        <w:rPr>
          <w:b/>
          <w:color w:val="00188F"/>
        </w:rPr>
        <w:t>Máximo de Minutos Disponíveis</w:t>
      </w:r>
      <w:r>
        <w:t>”</w:t>
      </w:r>
      <w:r w:rsidR="004005AF">
        <w:rPr>
          <w:b/>
          <w:color w:val="00188F"/>
        </w:rPr>
        <w:t xml:space="preserve"> </w:t>
      </w:r>
      <w:r w:rsidR="004005AF">
        <w:t>designa o total de minutos acumulados num Período Aplicável, durante o qual o Serviço Azure Firewall foi implementado numa subscrição do Microsoft Azure.</w:t>
      </w:r>
    </w:p>
    <w:p w14:paraId="2C00A1C0" w14:textId="21EB9384" w:rsidR="004005AF" w:rsidRDefault="00380305" w:rsidP="00F01ED6">
      <w:pPr>
        <w:pStyle w:val="ProductList-Body"/>
      </w:pPr>
      <w:r>
        <w:t>“</w:t>
      </w:r>
      <w:r w:rsidR="004005AF">
        <w:rPr>
          <w:b/>
          <w:color w:val="00188F"/>
        </w:rPr>
        <w:t>Período de Indisponibilidade</w:t>
      </w:r>
      <w:r>
        <w:t>”</w:t>
      </w:r>
      <w:r w:rsidR="004005AF">
        <w:rPr>
          <w:b/>
          <w:color w:val="00188F"/>
        </w:rPr>
        <w:t xml:space="preserve"> </w:t>
      </w:r>
      <w:r w:rsidR="004005AF">
        <w:t>designa o total acumulado de Máximo de Minutos Disponíveis num Período Aplicável para um determinado Serviço do Azure Firewall</w:t>
      </w:r>
      <w:r w:rsidR="004005AF">
        <w:rPr>
          <w:b/>
          <w:color w:val="00188F"/>
        </w:rPr>
        <w:t xml:space="preserve"> </w:t>
      </w:r>
      <w:r w:rsidR="004005AF">
        <w:t>durante o qual o Serviço do Azure Firewall está indisponível. Um determinado minuto é considerado indisponível se todas as tentativas de ligação ao Serviço Azure Firewall durante esse minuto falharem.</w:t>
      </w:r>
    </w:p>
    <w:p w14:paraId="2F4A07D6" w14:textId="12D0664A"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75F1B86" w14:textId="77777777" w:rsidR="00844254" w:rsidRPr="00EF7CF9" w:rsidRDefault="00844254" w:rsidP="00F01ED6">
      <w:pPr>
        <w:pStyle w:val="ProductList-Body"/>
      </w:pPr>
    </w:p>
    <w:p w14:paraId="2398E6B9" w14:textId="2072E27F"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D7FA62" w14:textId="77777777" w:rsidR="004005AF" w:rsidRPr="00ED4527"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numa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F2EBB8"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F01ED6">
            <w:pPr>
              <w:pStyle w:val="ProductList-OfferingBody"/>
              <w:jc w:val="center"/>
            </w:pPr>
            <w:r>
              <w:t>&lt; 99,95%</w:t>
            </w:r>
          </w:p>
        </w:tc>
        <w:tc>
          <w:tcPr>
            <w:tcW w:w="5400" w:type="dxa"/>
          </w:tcPr>
          <w:p w14:paraId="10C08CE5" w14:textId="77777777" w:rsidR="004005AF" w:rsidRPr="005A3C16" w:rsidRDefault="004005AF" w:rsidP="00F01ED6">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F01ED6">
            <w:pPr>
              <w:pStyle w:val="ProductList-OfferingBody"/>
              <w:jc w:val="center"/>
            </w:pPr>
            <w:r>
              <w:t>&lt; 99%</w:t>
            </w:r>
          </w:p>
        </w:tc>
        <w:tc>
          <w:tcPr>
            <w:tcW w:w="5400" w:type="dxa"/>
          </w:tcPr>
          <w:p w14:paraId="75BACCED" w14:textId="77777777" w:rsidR="004005AF" w:rsidRPr="005A3C16" w:rsidRDefault="004005AF" w:rsidP="00F01ED6">
            <w:pPr>
              <w:pStyle w:val="ProductList-OfferingBody"/>
              <w:jc w:val="center"/>
            </w:pPr>
            <w:r>
              <w:t>25%</w:t>
            </w:r>
          </w:p>
        </w:tc>
      </w:tr>
    </w:tbl>
    <w:p w14:paraId="605ED321" w14:textId="36894902" w:rsidR="004005AF" w:rsidRPr="00E80B8A" w:rsidRDefault="00EE6E3C" w:rsidP="008809A5">
      <w:pPr>
        <w:pStyle w:val="ProductList-Body"/>
        <w:keepNext/>
        <w:keepLines/>
        <w:spacing w:before="120"/>
        <w:rPr>
          <w:b/>
          <w:bCs/>
          <w:color w:val="00188F"/>
          <w:spacing w:val="-3"/>
        </w:rPr>
      </w:pPr>
      <w:r w:rsidRPr="00E80B8A">
        <w:rPr>
          <w:b/>
          <w:bCs/>
          <w:color w:val="00188F"/>
          <w:spacing w:val="-3"/>
        </w:rPr>
        <w:t>Cálculo do Período de Disponibilidade e Níveis de Serviço para o Serviço Azure Firewall implementado em duas ou mais Zonas de Disponibilidade</w:t>
      </w:r>
    </w:p>
    <w:p w14:paraId="30D680C4" w14:textId="7CF19D0C"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0000" w:themeColor="text1"/>
        </w:rPr>
        <w:t xml:space="preserve"> designa o total de minutos acumulados num Período Aplicável durante o qual o Serviço Azure Firewall foi</w:t>
      </w:r>
      <w:r w:rsidR="00494A45">
        <w:rPr>
          <w:color w:val="000000" w:themeColor="text1"/>
        </w:rPr>
        <w:t> </w:t>
      </w:r>
      <w:r w:rsidR="004005AF">
        <w:rPr>
          <w:color w:val="000000" w:themeColor="text1"/>
        </w:rPr>
        <w:t>implementado em duas ou mais Zonas de Disponibilidade de uma mesma região da subscrição do Microsoft Azure.</w:t>
      </w:r>
    </w:p>
    <w:p w14:paraId="3016A8A2" w14:textId="58185CF8"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é total acumulado de Máximo de Minutos Disponíveis, num Período Aplicável, para um determinado Serviço Azure</w:t>
      </w:r>
      <w:r w:rsidR="00ED1331">
        <w:rPr>
          <w:color w:val="000000" w:themeColor="text1"/>
        </w:rPr>
        <w:t> </w:t>
      </w:r>
      <w:r w:rsidR="004005AF">
        <w:rPr>
          <w:color w:val="000000" w:themeColor="text1"/>
        </w:rPr>
        <w:t>Firewall implementado em duas ou mais Zonas de Disponibilidade durante o qual este Serviço permanece indisponível. Um determinado minuto é</w:t>
      </w:r>
      <w:r w:rsidR="00C55C00">
        <w:rPr>
          <w:color w:val="000000" w:themeColor="text1"/>
        </w:rPr>
        <w:t> </w:t>
      </w:r>
      <w:r w:rsidR="004005AF">
        <w:rPr>
          <w:color w:val="000000" w:themeColor="text1"/>
        </w:rPr>
        <w:t>considerado indisponível se todas as tentativas de ligação ao Serviço Azure Firewall durante esse minuto falharem.</w:t>
      </w:r>
    </w:p>
    <w:p w14:paraId="705028FD" w14:textId="1564E01F" w:rsidR="004005AF" w:rsidRPr="00ED4527" w:rsidRDefault="004005AF" w:rsidP="00F01ED6">
      <w:pPr>
        <w:pStyle w:val="ProductList-Body"/>
        <w:tabs>
          <w:tab w:val="clear" w:pos="360"/>
          <w:tab w:val="clear" w:pos="720"/>
          <w:tab w:val="clear" w:pos="1080"/>
        </w:tabs>
        <w:rPr>
          <w:color w:val="000000" w:themeColor="text1"/>
        </w:rPr>
      </w:pPr>
      <w:r>
        <w:t xml:space="preserve">A </w:t>
      </w:r>
      <w:r w:rsidR="00380305" w:rsidRPr="00380305">
        <w:t>“</w:t>
      </w:r>
      <w:r>
        <w:rPr>
          <w:b/>
          <w:bCs/>
          <w:color w:val="00188F"/>
        </w:rPr>
        <w:t>Percentagem de Período de Disponibilidade</w:t>
      </w:r>
      <w:r w:rsidR="00380305" w:rsidRPr="00380305">
        <w:t>”</w:t>
      </w:r>
      <w:r>
        <w:rPr>
          <w:color w:val="00188F"/>
        </w:rPr>
        <w:t xml:space="preserve"> </w:t>
      </w:r>
      <w:r>
        <w:rPr>
          <w:color w:val="000000" w:themeColor="text1"/>
        </w:rPr>
        <w:t>para firewalls do Azure implementadas em duas ou mais Zonas de Disponibilidade é calculada utilizando a seguinte fórmula:</w:t>
      </w:r>
    </w:p>
    <w:p w14:paraId="3CF7D48F" w14:textId="14307496"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AA24F9D" w14:textId="77777777" w:rsidR="004005AF" w:rsidRPr="008D2319"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em duas ou mais Zonas de disponibilidade numa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F348E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F01ED6">
            <w:pPr>
              <w:pStyle w:val="ProductList-OfferingBody"/>
              <w:jc w:val="center"/>
            </w:pPr>
            <w:r>
              <w:t>&lt; 99,99%</w:t>
            </w:r>
          </w:p>
        </w:tc>
        <w:tc>
          <w:tcPr>
            <w:tcW w:w="5400" w:type="dxa"/>
          </w:tcPr>
          <w:p w14:paraId="1EF2AB30" w14:textId="77777777" w:rsidR="004005AF" w:rsidRPr="005A3C16" w:rsidRDefault="004005AF" w:rsidP="00F01ED6">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F01ED6">
            <w:pPr>
              <w:pStyle w:val="ProductList-OfferingBody"/>
              <w:jc w:val="center"/>
            </w:pPr>
            <w:r>
              <w:t>&lt; 99%</w:t>
            </w:r>
          </w:p>
        </w:tc>
        <w:tc>
          <w:tcPr>
            <w:tcW w:w="5400" w:type="dxa"/>
          </w:tcPr>
          <w:p w14:paraId="41B7CDB9" w14:textId="77777777" w:rsidR="004005AF" w:rsidRPr="005A3C16" w:rsidRDefault="004005AF" w:rsidP="00F01ED6">
            <w:pPr>
              <w:pStyle w:val="ProductList-OfferingBody"/>
              <w:jc w:val="center"/>
            </w:pPr>
            <w:r>
              <w:t>25%</w:t>
            </w:r>
          </w:p>
        </w:tc>
      </w:tr>
    </w:tbl>
    <w:bookmarkStart w:id="263" w:name="_Toc52348932"/>
    <w:p w14:paraId="2775EB3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54879A1" w14:textId="77777777" w:rsidR="00E76FE2" w:rsidRPr="00E76FE2" w:rsidRDefault="00E76FE2" w:rsidP="00844254">
      <w:pPr>
        <w:pStyle w:val="ProductList-Offering2Heading"/>
        <w:tabs>
          <w:tab w:val="clear" w:pos="360"/>
          <w:tab w:val="clear" w:pos="720"/>
          <w:tab w:val="clear" w:pos="1080"/>
        </w:tabs>
        <w:outlineLvl w:val="2"/>
      </w:pPr>
      <w:bookmarkStart w:id="264" w:name="_Toc182409669"/>
      <w:r>
        <w:t>Azure Fluid Relay</w:t>
      </w:r>
      <w:bookmarkEnd w:id="264"/>
    </w:p>
    <w:p w14:paraId="186ED242" w14:textId="77777777" w:rsidR="00E76FE2" w:rsidRPr="00E76FE2" w:rsidRDefault="00E76FE2" w:rsidP="00F01ED6">
      <w:pPr>
        <w:pStyle w:val="ProductList-Body"/>
        <w:rPr>
          <w:b/>
          <w:bCs/>
          <w:color w:val="00188F"/>
        </w:rPr>
      </w:pPr>
      <w:r>
        <w:rPr>
          <w:b/>
          <w:bCs/>
          <w:color w:val="00188F"/>
        </w:rPr>
        <w:t>Definições Adicionais</w:t>
      </w:r>
    </w:p>
    <w:p w14:paraId="6E84ED5D" w14:textId="6C53E6F5" w:rsidR="00E76FE2" w:rsidRDefault="00380305" w:rsidP="00F01ED6">
      <w:pPr>
        <w:pStyle w:val="ProductList-Body"/>
      </w:pPr>
      <w:r>
        <w:t>“</w:t>
      </w:r>
      <w:r w:rsidR="00E76FE2">
        <w:rPr>
          <w:b/>
          <w:bCs/>
          <w:color w:val="00188F"/>
        </w:rPr>
        <w:t>Máximo de Minutos Disponíveis</w:t>
      </w:r>
      <w:r>
        <w:t>”</w:t>
      </w:r>
      <w:r w:rsidR="00E76FE2">
        <w:t xml:space="preserve"> designa o total de minutos acumulados num Período Aplicável durante o qual pelo menos um recurso do Azure Fluid Relay esteve implementado numa subscrição do Microsoft Azure.</w:t>
      </w:r>
    </w:p>
    <w:p w14:paraId="2DE3F9A5" w14:textId="409D032E" w:rsidR="00E76FE2" w:rsidRDefault="00380305" w:rsidP="00F01ED6">
      <w:pPr>
        <w:pStyle w:val="ProductList-Body"/>
      </w:pPr>
      <w:r>
        <w:t>“</w:t>
      </w:r>
      <w:r w:rsidR="00E76FE2">
        <w:rPr>
          <w:b/>
          <w:bCs/>
          <w:color w:val="00188F"/>
        </w:rPr>
        <w:t>Período de Indisponibilidade</w:t>
      </w:r>
      <w:r>
        <w:t>”</w:t>
      </w:r>
      <w:r w:rsidR="00E76FE2">
        <w:t xml:space="preserve"> é o total acumulado de Máximo de Minutos Disponíveis num Período Aplicável durante o qual pelo menos um recurso do Azure Fluid Relay foi implementado, mas as chamadas de serviço para o recurso serviço Azure Fluid Relay estão indisponíveis.</w:t>
      </w:r>
    </w:p>
    <w:p w14:paraId="263517D6" w14:textId="26320E7D" w:rsidR="00E76FE2" w:rsidRDefault="00380305" w:rsidP="00F01ED6">
      <w:pPr>
        <w:pStyle w:val="ProductList-Body"/>
      </w:pPr>
      <w:r>
        <w:t>“</w:t>
      </w:r>
      <w:r w:rsidR="00E76FE2">
        <w:rPr>
          <w:b/>
          <w:bCs/>
          <w:color w:val="00188F"/>
        </w:rPr>
        <w:t>Percentagem de Período de Disponibilidade</w:t>
      </w:r>
      <w:r>
        <w:t>”</w:t>
      </w:r>
      <w:r w:rsidR="00E76FE2">
        <w:t xml:space="preserve"> A Percentagem de Período de Disponibilidade é calculada utilizando a seguinte fórmula:</w:t>
      </w:r>
    </w:p>
    <w:p w14:paraId="46C7A6A1" w14:textId="77777777" w:rsidR="00E76FE2" w:rsidRPr="001345FE" w:rsidRDefault="00E76FE2" w:rsidP="00F01ED6">
      <w:pPr>
        <w:pStyle w:val="ProductList-Body"/>
        <w:tabs>
          <w:tab w:val="clear" w:pos="360"/>
          <w:tab w:val="clear" w:pos="720"/>
          <w:tab w:val="clear" w:pos="1080"/>
        </w:tabs>
        <w:rPr>
          <w:sz w:val="12"/>
          <w:szCs w:val="12"/>
        </w:rPr>
      </w:pPr>
    </w:p>
    <w:p w14:paraId="74504FF8" w14:textId="65979EEC" w:rsidR="00E76FE2"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582B5E" w14:textId="77777777" w:rsidR="00E76FE2" w:rsidRPr="004F2381" w:rsidRDefault="00E76FE2" w:rsidP="00F01ED6">
      <w:pPr>
        <w:pStyle w:val="ProductList-Body"/>
        <w:keepNext/>
        <w:rPr>
          <w:b/>
          <w:bCs/>
          <w:color w:val="00188F"/>
        </w:rPr>
      </w:pPr>
      <w:r>
        <w:rPr>
          <w:b/>
          <w:bCs/>
          <w:color w:val="00188F"/>
        </w:rPr>
        <w:t>Os seguintes Níveis de Serviço e Créditos de Serviço são aplicáveis à utilização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BD83B4" w14:textId="77777777" w:rsidR="00E76FE2" w:rsidRPr="005A3C16" w:rsidRDefault="00E76FE2" w:rsidP="00F01ED6">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277097">
        <w:tc>
          <w:tcPr>
            <w:tcW w:w="5400" w:type="dxa"/>
          </w:tcPr>
          <w:p w14:paraId="6F23F302" w14:textId="71E99B8D" w:rsidR="00E76FE2" w:rsidRPr="005A3C16" w:rsidRDefault="00E76FE2" w:rsidP="00F01ED6">
            <w:pPr>
              <w:pStyle w:val="ProductList-OfferingBody"/>
              <w:jc w:val="center"/>
            </w:pPr>
            <w:r>
              <w:t>&lt; 99,9%</w:t>
            </w:r>
          </w:p>
        </w:tc>
        <w:tc>
          <w:tcPr>
            <w:tcW w:w="5400" w:type="dxa"/>
          </w:tcPr>
          <w:p w14:paraId="512E88FD" w14:textId="77777777" w:rsidR="00E76FE2" w:rsidRPr="005A3C16" w:rsidRDefault="00E76FE2" w:rsidP="00F01ED6">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F01ED6">
            <w:pPr>
              <w:pStyle w:val="ProductList-OfferingBody"/>
              <w:jc w:val="center"/>
            </w:pPr>
            <w:r>
              <w:t>&lt; 99%</w:t>
            </w:r>
          </w:p>
        </w:tc>
        <w:tc>
          <w:tcPr>
            <w:tcW w:w="5400" w:type="dxa"/>
          </w:tcPr>
          <w:p w14:paraId="7192BB89" w14:textId="77777777" w:rsidR="00E76FE2" w:rsidRPr="005A3C16" w:rsidRDefault="00E76FE2" w:rsidP="00F01ED6">
            <w:pPr>
              <w:pStyle w:val="ProductList-OfferingBody"/>
              <w:jc w:val="center"/>
            </w:pPr>
            <w:r>
              <w:t>25%</w:t>
            </w:r>
          </w:p>
        </w:tc>
      </w:tr>
    </w:tbl>
    <w:p w14:paraId="6345295B" w14:textId="77777777" w:rsidR="00445E4F" w:rsidRDefault="00445E4F" w:rsidP="00445E4F">
      <w:pPr>
        <w:pStyle w:val="ProductList-Body"/>
        <w:rPr>
          <w:rFonts w:ascii="Calibri" w:hAnsi="Calibri" w:cs="Calibri"/>
        </w:rPr>
      </w:pPr>
      <w:r>
        <w:rPr>
          <w:rFonts w:ascii="Calibri" w:hAnsi="Calibri" w:cs="Calibri"/>
          <w:b/>
          <w:color w:val="00188F"/>
        </w:rPr>
        <w:t>Exceções de Nível de Serviço</w:t>
      </w:r>
      <w:r w:rsidRPr="004C060D">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Não é fornecido nenhum SLA para a Camada Basic</w:t>
      </w:r>
      <w:r>
        <w:t>.</w:t>
      </w:r>
    </w:p>
    <w:p w14:paraId="6BD04C81" w14:textId="77777777" w:rsidR="00BD69A1" w:rsidRPr="00EF7CF9" w:rsidRDefault="00BD69A1" w:rsidP="00BD69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8DF4C1" w14:textId="77777777" w:rsidR="004F2381" w:rsidRPr="004F2381" w:rsidRDefault="004F2381" w:rsidP="00F01ED6">
      <w:pPr>
        <w:pStyle w:val="ProductList-Offering2Heading"/>
        <w:keepNext/>
        <w:tabs>
          <w:tab w:val="clear" w:pos="360"/>
          <w:tab w:val="clear" w:pos="720"/>
          <w:tab w:val="clear" w:pos="1080"/>
        </w:tabs>
        <w:outlineLvl w:val="2"/>
      </w:pPr>
      <w:bookmarkStart w:id="265" w:name="_Toc182409670"/>
      <w:r>
        <w:t>Azure Front Door e Azure Front Door (clássico)</w:t>
      </w:r>
      <w:bookmarkEnd w:id="265"/>
    </w:p>
    <w:p w14:paraId="4DF36CA6" w14:textId="19E613CE" w:rsidR="004F2381" w:rsidRPr="004F2381" w:rsidRDefault="00EE6E3C" w:rsidP="00F01ED6">
      <w:pPr>
        <w:pStyle w:val="ProductList-Body"/>
        <w:rPr>
          <w:b/>
          <w:bCs/>
          <w:color w:val="00188F"/>
        </w:rPr>
      </w:pPr>
      <w:r>
        <w:rPr>
          <w:b/>
          <w:bCs/>
          <w:color w:val="00188F"/>
        </w:rPr>
        <w:t>Cálculo do Período de Disponibilidade e Níveis de Serviço para o Azure Front Door e o Azure Front Door (clássico)</w:t>
      </w:r>
    </w:p>
    <w:p w14:paraId="0E9C02A9" w14:textId="77777777" w:rsidR="004F2381" w:rsidRDefault="004F2381" w:rsidP="00F01ED6">
      <w:pPr>
        <w:pStyle w:val="ProductList-Body"/>
      </w:pPr>
      <w:r>
        <w:t>A Microsoft analisará os dados de qualquer sistema de medição independente razoável do ponto de vista comercial utilizado pelo Cliente.</w:t>
      </w:r>
    </w:p>
    <w:p w14:paraId="6175FD2A" w14:textId="77777777" w:rsidR="00E80B8A" w:rsidRDefault="00E80B8A" w:rsidP="00F01ED6">
      <w:pPr>
        <w:pStyle w:val="ProductList-Body"/>
      </w:pPr>
    </w:p>
    <w:p w14:paraId="418C34AA" w14:textId="0532A725" w:rsidR="004F2381" w:rsidRDefault="004F2381" w:rsidP="00F01ED6">
      <w:pPr>
        <w:pStyle w:val="ProductList-Body"/>
      </w:pPr>
      <w:r>
        <w:t>O Cliente tem de selecionar um conjunto de agentes da lista do sistema de medição de agentes padrão que estão normalmente disponíveis e</w:t>
      </w:r>
      <w:r w:rsidR="00C55C00">
        <w:t> </w:t>
      </w:r>
      <w:r>
        <w:t>representados em pelo menos cinco localizações diversas geograficamente nas maiores áreas metropolitanas do mundo (excluindo a República Popular da China).</w:t>
      </w:r>
    </w:p>
    <w:p w14:paraId="3ACD442F" w14:textId="77777777" w:rsidR="004F2381" w:rsidRDefault="004F2381" w:rsidP="00F01ED6">
      <w:pPr>
        <w:pStyle w:val="ProductList-Body"/>
      </w:pPr>
    </w:p>
    <w:p w14:paraId="6FBDA486" w14:textId="77777777" w:rsidR="004F2381" w:rsidRDefault="004F2381" w:rsidP="00F01ED6">
      <w:pPr>
        <w:pStyle w:val="ProductList-Body"/>
        <w:numPr>
          <w:ilvl w:val="0"/>
          <w:numId w:val="18"/>
        </w:numPr>
      </w:pPr>
      <w:r>
        <w:t>Os testes do Sistema de Medição (frequência de pelo menos um teste a cada 5 minutos por agente) serão configurados para executar uma operação HTTP GET de acordo com o modelo abaixo:</w:t>
      </w:r>
    </w:p>
    <w:p w14:paraId="595DA6A2" w14:textId="77777777" w:rsidR="004F2381" w:rsidRDefault="004F2381" w:rsidP="00F01ED6">
      <w:pPr>
        <w:pStyle w:val="ProductList-Body"/>
        <w:numPr>
          <w:ilvl w:val="0"/>
          <w:numId w:val="18"/>
        </w:numPr>
      </w:pPr>
      <w:r>
        <w:t>Um ficheiro de teste será colocado no backend do Cliente (por exemplo, conta de Armazenamento do Azure).</w:t>
      </w:r>
    </w:p>
    <w:p w14:paraId="78CE7BBA" w14:textId="3F9AB887" w:rsidR="004F2381" w:rsidRDefault="004F2381" w:rsidP="00F01ED6">
      <w:pPr>
        <w:pStyle w:val="ProductList-Body"/>
        <w:numPr>
          <w:ilvl w:val="0"/>
          <w:numId w:val="18"/>
        </w:numPr>
      </w:pPr>
      <w:r>
        <w:t>A operação GET obterá o ficheiro através do Azure Front Door Service e do Azure Front Door (clássico) ao pedir o objeto do nome do</w:t>
      </w:r>
      <w:r w:rsidR="00B21533">
        <w:t> </w:t>
      </w:r>
      <w:r>
        <w:t>anfitrião correspondente ao nome de domínio do Microsoft Azure.</w:t>
      </w:r>
    </w:p>
    <w:p w14:paraId="246D7779" w14:textId="77777777" w:rsidR="004F2381" w:rsidRDefault="004F2381" w:rsidP="00F01ED6">
      <w:pPr>
        <w:pStyle w:val="ProductList-Body"/>
        <w:numPr>
          <w:ilvl w:val="0"/>
          <w:numId w:val="18"/>
        </w:numPr>
      </w:pPr>
      <w:r>
        <w:t>O ficheiro de teste cumprirá os seguintes critérios:</w:t>
      </w:r>
    </w:p>
    <w:p w14:paraId="168D1BD3" w14:textId="77777777" w:rsidR="004F2381" w:rsidRDefault="004F2381" w:rsidP="00F01ED6">
      <w:pPr>
        <w:pStyle w:val="ProductList-Body"/>
        <w:numPr>
          <w:ilvl w:val="0"/>
          <w:numId w:val="19"/>
        </w:numPr>
        <w:ind w:left="1080"/>
      </w:pPr>
      <w:r>
        <w:t>O objeto de teste será um ficheiro com um tamanho de, pelo menos, 50 KB.</w:t>
      </w:r>
    </w:p>
    <w:p w14:paraId="3E713057" w14:textId="121D57DC" w:rsidR="004F2381" w:rsidRDefault="004F2381" w:rsidP="00F01ED6">
      <w:pPr>
        <w:pStyle w:val="ProductList-Body"/>
        <w:numPr>
          <w:ilvl w:val="0"/>
          <w:numId w:val="19"/>
        </w:numPr>
        <w:ind w:left="1080"/>
      </w:pPr>
      <w:r>
        <w:t>Os dados não processados serão organizados de modo a eliminar quaisquer medições que sejam provenientes de um agente com problemas técnicos durante o período de medição.</w:t>
      </w:r>
    </w:p>
    <w:p w14:paraId="0AC04D72" w14:textId="77777777" w:rsidR="004F2381" w:rsidRDefault="004F2381" w:rsidP="00F01ED6">
      <w:pPr>
        <w:pStyle w:val="ProductList-Body"/>
      </w:pPr>
    </w:p>
    <w:p w14:paraId="17584669" w14:textId="1F8E760D" w:rsidR="004F2381" w:rsidRPr="00A11775" w:rsidRDefault="00380305" w:rsidP="00F01ED6">
      <w:pPr>
        <w:pStyle w:val="ProductList-Body"/>
        <w:rPr>
          <w:szCs w:val="18"/>
        </w:rPr>
      </w:pPr>
      <w:r w:rsidRPr="00A11775">
        <w:rPr>
          <w:szCs w:val="18"/>
        </w:rPr>
        <w:t>“</w:t>
      </w:r>
      <w:r w:rsidR="004F2381" w:rsidRPr="00A11775">
        <w:rPr>
          <w:b/>
          <w:bCs/>
          <w:color w:val="00188F"/>
          <w:szCs w:val="18"/>
        </w:rPr>
        <w:t>Percentagem de Período de Disponibilidade</w:t>
      </w:r>
      <w:r w:rsidRPr="00A11775">
        <w:rPr>
          <w:szCs w:val="18"/>
        </w:rPr>
        <w:t>”</w:t>
      </w:r>
      <w:r w:rsidR="004F2381" w:rsidRPr="00A11775">
        <w:rPr>
          <w:szCs w:val="18"/>
        </w:rPr>
        <w:t xml:space="preserve"> é a percentagem de transações de HTTP em que o Azure Front Door e o Azure Front Door (clássico) respondem aos pedidos de cliente e fornecem o conteúdo pedido sem erros. A Percentagem de Período de Disponibilidade do Azure Front Door e</w:t>
      </w:r>
      <w:r w:rsidR="00823808">
        <w:rPr>
          <w:szCs w:val="18"/>
        </w:rPr>
        <w:t> </w:t>
      </w:r>
      <w:r w:rsidR="004F2381" w:rsidRPr="00A11775">
        <w:rPr>
          <w:szCs w:val="18"/>
        </w:rPr>
        <w:t>do Azure Front Door (clássico) é calculada como o número de vezes que o objeto foi fornecido com êxito a dividir pelo número total de pedidos (depois de remover os dados incorretos).</w:t>
      </w:r>
    </w:p>
    <w:p w14:paraId="3091E497" w14:textId="77777777" w:rsidR="004F2381" w:rsidRDefault="004F2381" w:rsidP="00F01ED6">
      <w:pPr>
        <w:pStyle w:val="ProductList-Body"/>
      </w:pPr>
    </w:p>
    <w:p w14:paraId="67FB4267" w14:textId="77777777" w:rsidR="004F2381" w:rsidRPr="004F2381" w:rsidRDefault="004F2381" w:rsidP="00F01ED6">
      <w:pPr>
        <w:pStyle w:val="ProductList-Body"/>
        <w:rPr>
          <w:b/>
          <w:bCs/>
          <w:color w:val="00188F"/>
        </w:rPr>
      </w:pPr>
      <w:r>
        <w:rPr>
          <w:b/>
          <w:bCs/>
          <w:color w:val="00188F"/>
        </w:rPr>
        <w:t>Os seguintes Níveis de Serviço e Créditos de Serviço são aplicáveis à utilização que o Cliente faz do Azure Front Door Service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4F82E53" w14:textId="77777777" w:rsidR="004F2381" w:rsidRPr="005A3C16" w:rsidRDefault="004F2381" w:rsidP="00F01ED6">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F01ED6">
            <w:pPr>
              <w:pStyle w:val="ProductList-OfferingBody"/>
              <w:jc w:val="center"/>
            </w:pPr>
            <w:r>
              <w:t>&lt; 99,99%</w:t>
            </w:r>
          </w:p>
        </w:tc>
        <w:tc>
          <w:tcPr>
            <w:tcW w:w="5400" w:type="dxa"/>
          </w:tcPr>
          <w:p w14:paraId="64166E7A" w14:textId="77777777" w:rsidR="004F2381" w:rsidRPr="005A3C16" w:rsidRDefault="004F2381" w:rsidP="00F01ED6">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F01ED6">
            <w:pPr>
              <w:pStyle w:val="ProductList-OfferingBody"/>
              <w:jc w:val="center"/>
            </w:pPr>
            <w:r>
              <w:t>&lt; 99,9%</w:t>
            </w:r>
          </w:p>
        </w:tc>
        <w:tc>
          <w:tcPr>
            <w:tcW w:w="5400" w:type="dxa"/>
          </w:tcPr>
          <w:p w14:paraId="2E8B9EF7" w14:textId="77777777" w:rsidR="004F2381" w:rsidRPr="005A3C16" w:rsidRDefault="004F2381" w:rsidP="00F01ED6">
            <w:pPr>
              <w:pStyle w:val="ProductList-OfferingBody"/>
              <w:jc w:val="center"/>
            </w:pPr>
            <w:r>
              <w:t>25%</w:t>
            </w:r>
          </w:p>
        </w:tc>
      </w:tr>
    </w:tbl>
    <w:p w14:paraId="00D3F7B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4D9DDFE" w14:textId="77777777" w:rsidR="00BA2ACE" w:rsidRPr="00BA2ACE" w:rsidRDefault="00BA2ACE" w:rsidP="00F01ED6">
      <w:pPr>
        <w:pStyle w:val="ProductList-Offering2Heading"/>
        <w:keepNext/>
        <w:tabs>
          <w:tab w:val="clear" w:pos="360"/>
          <w:tab w:val="clear" w:pos="720"/>
          <w:tab w:val="clear" w:pos="1080"/>
        </w:tabs>
        <w:outlineLvl w:val="2"/>
      </w:pPr>
      <w:bookmarkStart w:id="266" w:name="_Toc182409671"/>
      <w:r>
        <w:t>Funções do Azure</w:t>
      </w:r>
      <w:bookmarkEnd w:id="266"/>
    </w:p>
    <w:p w14:paraId="052624BB" w14:textId="77777777" w:rsidR="00BA2ACE" w:rsidRPr="00BA2ACE" w:rsidRDefault="00BA2ACE" w:rsidP="00F01ED6">
      <w:pPr>
        <w:pStyle w:val="ProductList-Body"/>
        <w:rPr>
          <w:b/>
          <w:bCs/>
          <w:color w:val="00188F"/>
        </w:rPr>
      </w:pPr>
      <w:r>
        <w:rPr>
          <w:b/>
          <w:bCs/>
          <w:color w:val="00188F"/>
        </w:rPr>
        <w:t>Definições Adicionais</w:t>
      </w:r>
    </w:p>
    <w:p w14:paraId="235BCA0A" w14:textId="3C494D18" w:rsidR="00BA2ACE" w:rsidRDefault="00380305" w:rsidP="00F01ED6">
      <w:pPr>
        <w:pStyle w:val="ProductList-Body"/>
      </w:pPr>
      <w:r>
        <w:t>“</w:t>
      </w:r>
      <w:r w:rsidR="00BA2ACE">
        <w:rPr>
          <w:b/>
          <w:bCs/>
          <w:color w:val="00188F"/>
        </w:rPr>
        <w:t>Aplicação de Funções</w:t>
      </w:r>
      <w:r>
        <w:t>”</w:t>
      </w:r>
      <w:r w:rsidR="00BA2ACE">
        <w:t xml:space="preserve"> designa o conjunto de uma ou mais funções implementadas com um acionador (</w:t>
      </w:r>
      <w:r>
        <w:t>“</w:t>
      </w:r>
      <w:r w:rsidR="00BA2ACE">
        <w:t>trigger</w:t>
      </w:r>
      <w:r>
        <w:t>”</w:t>
      </w:r>
      <w:r w:rsidR="00BA2ACE">
        <w:t>) associado.</w:t>
      </w:r>
    </w:p>
    <w:p w14:paraId="4B85BC3C" w14:textId="058CB4EA" w:rsidR="00BA2ACE" w:rsidRPr="00BA2ACE" w:rsidRDefault="00EE6E3C" w:rsidP="00F01ED6">
      <w:pPr>
        <w:pStyle w:val="ProductList-Body"/>
        <w:spacing w:before="120"/>
        <w:rPr>
          <w:b/>
          <w:bCs/>
          <w:color w:val="00188F"/>
        </w:rPr>
      </w:pPr>
      <w:r>
        <w:rPr>
          <w:b/>
          <w:bCs/>
          <w:color w:val="00188F"/>
        </w:rPr>
        <w:t>Cálculo do Período de Disponibilidade e Níveis de Serviço para a Aplicação de Funções no Plano de Consumo</w:t>
      </w:r>
    </w:p>
    <w:p w14:paraId="64932D86" w14:textId="09A80AFB" w:rsidR="00BA2ACE" w:rsidRDefault="00380305" w:rsidP="00F01ED6">
      <w:pPr>
        <w:pStyle w:val="ProductList-Body"/>
      </w:pPr>
      <w:r>
        <w:t>“</w:t>
      </w:r>
      <w:r w:rsidR="00BA2ACE">
        <w:rPr>
          <w:b/>
          <w:bCs/>
          <w:color w:val="00188F"/>
        </w:rPr>
        <w:t>Total de Execuções Desencadeadas</w:t>
      </w:r>
      <w:r>
        <w:t>”</w:t>
      </w:r>
      <w:r w:rsidR="00BA2ACE">
        <w:t xml:space="preserve"> designa o número total de todas as execuções de Aplicações de Funções desencadeadas pelo Cliente numa dada subscrição da Microsoft Azure ao longo de Período Aplicável.</w:t>
      </w:r>
    </w:p>
    <w:p w14:paraId="1096786D" w14:textId="014F62FD" w:rsidR="00BA2ACE" w:rsidRPr="00E80B8A" w:rsidRDefault="00380305" w:rsidP="00F01ED6">
      <w:pPr>
        <w:pStyle w:val="ProductList-Body"/>
        <w:jc w:val="both"/>
        <w:rPr>
          <w:spacing w:val="-3"/>
        </w:rPr>
      </w:pPr>
      <w:r>
        <w:rPr>
          <w:spacing w:val="-3"/>
        </w:rPr>
        <w:t>“</w:t>
      </w:r>
      <w:r w:rsidR="00BA2ACE" w:rsidRPr="00E80B8A">
        <w:rPr>
          <w:b/>
          <w:bCs/>
          <w:color w:val="00188F"/>
          <w:spacing w:val="-3"/>
        </w:rPr>
        <w:t>Execuções Indisponíveis</w:t>
      </w:r>
      <w:r>
        <w:rPr>
          <w:spacing w:val="-3"/>
        </w:rPr>
        <w:t>”</w:t>
      </w:r>
      <w:r w:rsidR="00BA2ACE" w:rsidRPr="00E80B8A">
        <w:rPr>
          <w:spacing w:val="-3"/>
        </w:rPr>
        <w:t xml:space="preserve"> designa o número total de execuções que falharam no Total de Execuções Desencadeadas. Existe uma falha na execução quando o registo do histórico da Aplicação de Funções não recebe quaisquer resultados nos 5 (cinco) minutos seguintes ao desencadeamento do acionador.</w:t>
      </w:r>
    </w:p>
    <w:p w14:paraId="689CE859" w14:textId="47B730B1" w:rsidR="00BA2ACE" w:rsidRDefault="00BA2ACE" w:rsidP="00F01ED6">
      <w:pPr>
        <w:pStyle w:val="ProductList-Body"/>
      </w:pPr>
      <w:r>
        <w:t xml:space="preserve">A </w:t>
      </w:r>
      <w:r w:rsidR="00380305">
        <w:t>“</w:t>
      </w:r>
      <w:r>
        <w:rPr>
          <w:b/>
          <w:bCs/>
          <w:color w:val="00188F"/>
        </w:rPr>
        <w:t>Percentagem de Período de Disponibilidade</w:t>
      </w:r>
      <w:r w:rsidR="00380305">
        <w:t>”</w:t>
      </w:r>
      <w:r>
        <w:t xml:space="preserve"> para as Aplicações de Funções no Plano de consumo é calculada ao deduzir ao Total de Execuções Desencadeadas o número de Execuções Indisponíveis e dividindo o resultado pelo Total de Execuções Desencadeadas multiplicado por 100.</w:t>
      </w:r>
    </w:p>
    <w:p w14:paraId="4AACB329" w14:textId="77777777" w:rsidR="00BA2ACE" w:rsidRPr="00ED4527" w:rsidRDefault="00BA2ACE" w:rsidP="00F01ED6">
      <w:pPr>
        <w:spacing w:after="0" w:line="240" w:lineRule="auto"/>
        <w:rPr>
          <w:color w:val="000000" w:themeColor="text1"/>
          <w:sz w:val="18"/>
        </w:rPr>
      </w:pPr>
    </w:p>
    <w:p w14:paraId="293767FF" w14:textId="11ACDEF3" w:rsidR="00BA2ACE" w:rsidRPr="00BA2ACE"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F01ED6">
      <w:pPr>
        <w:pStyle w:val="ProductList-Body"/>
        <w:keepNext/>
        <w:rPr>
          <w:b/>
          <w:bCs/>
          <w:color w:val="00188F"/>
        </w:rPr>
      </w:pPr>
      <w:r>
        <w:rPr>
          <w:b/>
          <w:bCs/>
          <w:color w:val="00188F"/>
        </w:rPr>
        <w:t>Os Níveis de Serviço e Créditos de Serviço seguintes são aplicáveis à utilização que o Cliente faz da Aplicação de Funções no plano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1CB9C4F"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F01ED6">
            <w:pPr>
              <w:pStyle w:val="ProductList-OfferingBody"/>
              <w:jc w:val="center"/>
            </w:pPr>
            <w:r>
              <w:t>&lt; 99,95%</w:t>
            </w:r>
          </w:p>
        </w:tc>
        <w:tc>
          <w:tcPr>
            <w:tcW w:w="5400" w:type="dxa"/>
          </w:tcPr>
          <w:p w14:paraId="12A1DCF6" w14:textId="77777777" w:rsidR="00BA2ACE" w:rsidRPr="00EF7CF9" w:rsidRDefault="00BA2ACE" w:rsidP="00F01ED6">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F01ED6">
            <w:pPr>
              <w:pStyle w:val="ProductList-OfferingBody"/>
              <w:jc w:val="center"/>
            </w:pPr>
            <w:r>
              <w:t>&lt; 99%</w:t>
            </w:r>
          </w:p>
        </w:tc>
        <w:tc>
          <w:tcPr>
            <w:tcW w:w="5400" w:type="dxa"/>
          </w:tcPr>
          <w:p w14:paraId="201A7205" w14:textId="77777777" w:rsidR="00BA2ACE" w:rsidRPr="00EF7CF9" w:rsidRDefault="00BA2ACE" w:rsidP="00F01ED6">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F01ED6">
            <w:pPr>
              <w:pStyle w:val="ProductList-OfferingBody"/>
              <w:jc w:val="center"/>
            </w:pPr>
            <w:r>
              <w:t>&lt; 95%</w:t>
            </w:r>
          </w:p>
        </w:tc>
        <w:tc>
          <w:tcPr>
            <w:tcW w:w="5400" w:type="dxa"/>
          </w:tcPr>
          <w:p w14:paraId="0B8D9475" w14:textId="77777777" w:rsidR="00BA2ACE" w:rsidRPr="00EF7CF9" w:rsidRDefault="00BA2ACE" w:rsidP="00F01ED6">
            <w:pPr>
              <w:pStyle w:val="ProductList-OfferingBody"/>
              <w:jc w:val="center"/>
            </w:pPr>
            <w:r>
              <w:t>100%</w:t>
            </w:r>
          </w:p>
        </w:tc>
      </w:tr>
    </w:tbl>
    <w:p w14:paraId="010BBF7A" w14:textId="77777777" w:rsidR="00E00488" w:rsidRPr="006629FF" w:rsidRDefault="00E00488" w:rsidP="00E00488">
      <w:pPr>
        <w:pStyle w:val="ProductList-Body"/>
        <w:keepNext/>
        <w:spacing w:before="120"/>
        <w:rPr>
          <w:rFonts w:ascii="Calibri" w:hAnsi="Calibri" w:cs="Calibri"/>
          <w:b/>
          <w:bCs/>
          <w:color w:val="00188F"/>
        </w:rPr>
      </w:pPr>
      <w:r>
        <w:rPr>
          <w:rFonts w:ascii="Calibri" w:hAnsi="Calibri" w:cs="Calibri"/>
          <w:b/>
          <w:bCs/>
          <w:color w:val="00188F"/>
        </w:rPr>
        <w:t>Cálculo do Período de Disponibilidade e Níveis de Serviço para as Aplicações de Funções no Plano de Consumo Flexível, Plano Premium ou Plano Serviço de Aplicações Dedicado</w:t>
      </w:r>
    </w:p>
    <w:p w14:paraId="3ABD5069"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Minutos de Implementação</w:t>
      </w:r>
      <w:r>
        <w:rPr>
          <w:rFonts w:ascii="Calibri" w:hAnsi="Calibri" w:cs="Calibri"/>
        </w:rPr>
        <w:t>” designa o número total de minutos durante os quais uma determinada Aplicação de Função está disponível para acionamento durante um Período Aplicável. Os Minutos de Implementação são medidos com base no tempo total que o serviço está disponível para acionar uma execução de função e não com base no número potencial de execuções de funções que poderão ser acionadas durante um Período Aplicável.</w:t>
      </w:r>
    </w:p>
    <w:p w14:paraId="0BC2A29E"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a soma de todos os Minutos de Implementação para uma determinada Aplicação de Função implementada pelo Cliente numa determinada subscrição do Microsoft Azure durante um Período Aplicável.</w:t>
      </w:r>
    </w:p>
    <w:p w14:paraId="44E53781"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Período de Indisponibilidade</w:t>
      </w:r>
      <w:r>
        <w:rPr>
          <w:rFonts w:ascii="Calibri" w:hAnsi="Calibri" w:cs="Calibri"/>
        </w:rPr>
        <w:t>” designa o número total de minutos durante o Máximo de Minutos Disponíveis durante os quais a Aplicação de Funções está indisponível para ser acionada. Um minuto é considerado indisponível para uma determinada Aplicação de Função quando não existe nenhuma conectividade entre o plano onde a Aplicação de Funções está alojada (o plano Consumo Flexível, o plano Premium ou o plano Serviço de Aplicações Dedicado) e o gateway de Internet da Microsoft.</w:t>
      </w:r>
    </w:p>
    <w:p w14:paraId="288F1ADE" w14:textId="77777777" w:rsidR="00E00488" w:rsidRDefault="00E00488" w:rsidP="00E00488">
      <w:pPr>
        <w:pStyle w:val="ProductList-Body"/>
        <w:rPr>
          <w:rFonts w:ascii="Calibri" w:hAnsi="Calibri" w:cs="Calibri"/>
        </w:rPr>
      </w:pPr>
      <w:r>
        <w:t xml:space="preserve">A </w:t>
      </w:r>
      <w:r>
        <w:rPr>
          <w:rFonts w:ascii="Calibri" w:hAnsi="Calibri" w:cs="Calibri"/>
        </w:rPr>
        <w:t>“</w:t>
      </w:r>
      <w:r>
        <w:rPr>
          <w:rFonts w:ascii="Calibri" w:hAnsi="Calibri" w:cs="Calibri"/>
          <w:b/>
          <w:bCs/>
          <w:color w:val="00188F"/>
        </w:rPr>
        <w:t>Percentagem de Período de Disponibilidade</w:t>
      </w:r>
      <w:r>
        <w:rPr>
          <w:rFonts w:ascii="Calibri" w:hAnsi="Calibri" w:cs="Calibri"/>
        </w:rPr>
        <w:t>” para as Aplicações de Funções no plano Consumo Flexível, no plano Premium ou no plano Serviço de Aplicações Dedicado é calculada como o Máximo de Minutos Disponíveis menos o Período de Indisponibilidade e dividido pelo resultado pelo Máximo de Minutos Disponíveis, multiplicado por 100.</w:t>
      </w:r>
    </w:p>
    <w:p w14:paraId="0B1D6084" w14:textId="77777777" w:rsidR="00E00488" w:rsidRPr="006629FF" w:rsidRDefault="00E00488" w:rsidP="00E00488">
      <w:pPr>
        <w:pStyle w:val="ProductList-Body"/>
        <w:rPr>
          <w:rFonts w:ascii="Calibri" w:hAnsi="Calibri" w:cs="Calibri"/>
        </w:rPr>
      </w:pPr>
    </w:p>
    <w:p w14:paraId="032F4CDF" w14:textId="0849581E" w:rsidR="00BA2ACE" w:rsidRPr="00EF7CF9" w:rsidRDefault="00000000"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8444FF0" w14:textId="1763E357" w:rsidR="00BA2ACE" w:rsidRPr="00BA2ACE" w:rsidRDefault="00BA2AC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E8C7445"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F01ED6">
            <w:pPr>
              <w:pStyle w:val="ProductList-OfferingBody"/>
              <w:jc w:val="center"/>
            </w:pPr>
            <w:r>
              <w:t>&lt; 99,95%</w:t>
            </w:r>
          </w:p>
        </w:tc>
        <w:tc>
          <w:tcPr>
            <w:tcW w:w="5400" w:type="dxa"/>
          </w:tcPr>
          <w:p w14:paraId="7DB5AE74" w14:textId="77777777" w:rsidR="00BA2ACE" w:rsidRPr="00EF7CF9" w:rsidRDefault="00BA2ACE" w:rsidP="00F01ED6">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F01ED6">
            <w:pPr>
              <w:pStyle w:val="ProductList-OfferingBody"/>
              <w:jc w:val="center"/>
            </w:pPr>
            <w:r>
              <w:t>&lt; 99%</w:t>
            </w:r>
          </w:p>
        </w:tc>
        <w:tc>
          <w:tcPr>
            <w:tcW w:w="5400" w:type="dxa"/>
          </w:tcPr>
          <w:p w14:paraId="41BED183" w14:textId="77777777" w:rsidR="00BA2ACE" w:rsidRPr="00EF7CF9" w:rsidRDefault="00BA2ACE" w:rsidP="00F01ED6">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1834DE">
            <w:pPr>
              <w:pStyle w:val="ProductList-OfferingBody"/>
              <w:jc w:val="center"/>
            </w:pPr>
            <w:r>
              <w:t>&lt; 95%</w:t>
            </w:r>
          </w:p>
        </w:tc>
        <w:tc>
          <w:tcPr>
            <w:tcW w:w="5400" w:type="dxa"/>
          </w:tcPr>
          <w:p w14:paraId="5C85EFDB" w14:textId="77777777" w:rsidR="00BA2ACE" w:rsidRPr="00EF7CF9" w:rsidRDefault="00BA2ACE" w:rsidP="001834DE">
            <w:pPr>
              <w:pStyle w:val="ProductList-OfferingBody"/>
              <w:jc w:val="center"/>
            </w:pPr>
            <w:r>
              <w:t>100%</w:t>
            </w:r>
          </w:p>
        </w:tc>
      </w:tr>
    </w:tbl>
    <w:bookmarkStart w:id="267" w:name="_Toc457821551"/>
    <w:bookmarkStart w:id="268" w:name="_Toc52348957"/>
    <w:p w14:paraId="76C1605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15C719" w14:textId="77777777" w:rsidR="00C02802" w:rsidRPr="00EF7CF9" w:rsidRDefault="00C02802" w:rsidP="00F01ED6">
      <w:pPr>
        <w:pStyle w:val="ProductList-Offering2Heading"/>
        <w:tabs>
          <w:tab w:val="clear" w:pos="360"/>
          <w:tab w:val="clear" w:pos="720"/>
          <w:tab w:val="clear" w:pos="1080"/>
        </w:tabs>
        <w:outlineLvl w:val="2"/>
      </w:pPr>
      <w:bookmarkStart w:id="269" w:name="_Toc182409672"/>
      <w:r>
        <w:t>HDInsight</w:t>
      </w:r>
      <w:bookmarkEnd w:id="267"/>
      <w:bookmarkEnd w:id="268"/>
      <w:bookmarkEnd w:id="269"/>
    </w:p>
    <w:p w14:paraId="2784026B" w14:textId="77777777" w:rsidR="00C02802" w:rsidRPr="00EF7CF9" w:rsidRDefault="00C02802" w:rsidP="00F01ED6">
      <w:pPr>
        <w:pStyle w:val="ProductList-Body"/>
        <w:rPr>
          <w:b/>
          <w:color w:val="00188F"/>
        </w:rPr>
      </w:pPr>
      <w:r>
        <w:rPr>
          <w:b/>
          <w:color w:val="00188F"/>
        </w:rPr>
        <w:t>Definições Adicionais</w:t>
      </w:r>
      <w:r w:rsidRPr="00473DD3">
        <w:rPr>
          <w:b/>
          <w:color w:val="00188F"/>
        </w:rPr>
        <w:t>:</w:t>
      </w:r>
    </w:p>
    <w:p w14:paraId="0E5D91C6" w14:textId="35AD99E4" w:rsidR="00C02802" w:rsidRPr="00E80B8A" w:rsidRDefault="00380305" w:rsidP="00F01ED6">
      <w:pPr>
        <w:pStyle w:val="ProductList-Body"/>
        <w:spacing w:after="40"/>
        <w:jc w:val="both"/>
        <w:rPr>
          <w:spacing w:val="-3"/>
        </w:rPr>
      </w:pPr>
      <w:r>
        <w:rPr>
          <w:spacing w:val="-3"/>
        </w:rPr>
        <w:t>“</w:t>
      </w:r>
      <w:r w:rsidR="00C02802" w:rsidRPr="00E80B8A">
        <w:rPr>
          <w:b/>
          <w:color w:val="00188F"/>
          <w:spacing w:val="-3"/>
        </w:rPr>
        <w:t>Gateway de Internet de Cluster</w:t>
      </w:r>
      <w:r>
        <w:rPr>
          <w:spacing w:val="-3"/>
        </w:rPr>
        <w:t>”</w:t>
      </w:r>
      <w:r w:rsidR="00C02802" w:rsidRPr="00E80B8A">
        <w:rPr>
          <w:spacing w:val="-3"/>
        </w:rPr>
        <w:t xml:space="preserve"> designa um conjunto de máquinas virtuais num Cluster HDInsight que liga todos os pedidos de conectividade ao Cluster.</w:t>
      </w:r>
    </w:p>
    <w:p w14:paraId="36AE16AC" w14:textId="67D62750" w:rsidR="00C02802" w:rsidRPr="00EF7CF9" w:rsidRDefault="00380305" w:rsidP="00F01ED6">
      <w:pPr>
        <w:pStyle w:val="ProductList-Body"/>
        <w:spacing w:after="40"/>
      </w:pPr>
      <w:r>
        <w:t>“</w:t>
      </w:r>
      <w:r w:rsidR="00C02802">
        <w:rPr>
          <w:b/>
          <w:color w:val="00188F"/>
        </w:rPr>
        <w:t>Minutos de Implementação</w:t>
      </w:r>
      <w:r>
        <w:t>”</w:t>
      </w:r>
      <w:r w:rsidR="00C02802">
        <w:t xml:space="preserve"> designa o número total de minutos durante os quais um determinado Cluster HDInsight esteve implementado no Microsoft Azure.</w:t>
      </w:r>
    </w:p>
    <w:p w14:paraId="4FA891BC" w14:textId="4630A068" w:rsidR="00C02802" w:rsidRPr="00EF7CF9" w:rsidRDefault="00380305" w:rsidP="00F01ED6">
      <w:pPr>
        <w:pStyle w:val="ProductList-Body"/>
        <w:spacing w:after="40"/>
      </w:pPr>
      <w:r>
        <w:t>“</w:t>
      </w:r>
      <w:r w:rsidR="00C02802">
        <w:rPr>
          <w:b/>
          <w:color w:val="00188F"/>
        </w:rPr>
        <w:t>Cluster HDInsight</w:t>
      </w:r>
      <w:r>
        <w:t>”</w:t>
      </w:r>
      <w:r w:rsidR="00C02802">
        <w:t xml:space="preserve"> ou </w:t>
      </w:r>
      <w:r>
        <w:t>“</w:t>
      </w:r>
      <w:r w:rsidR="00C02802">
        <w:rPr>
          <w:b/>
          <w:color w:val="00188F"/>
        </w:rPr>
        <w:t>Cluster</w:t>
      </w:r>
      <w:r>
        <w:t>”</w:t>
      </w:r>
      <w:r w:rsidR="00C02802">
        <w:t xml:space="preserve"> designa uma coleção de máquinas virtuais a executar uma única instância do Serviço HDInsight.</w:t>
      </w:r>
    </w:p>
    <w:p w14:paraId="10EBBD8E" w14:textId="648E6212" w:rsidR="00C02802" w:rsidRPr="00EF7CF9" w:rsidRDefault="00380305" w:rsidP="00F01ED6">
      <w:pPr>
        <w:pStyle w:val="ProductList-Body"/>
      </w:pPr>
      <w:r>
        <w:t>“</w:t>
      </w:r>
      <w:r w:rsidR="00C02802">
        <w:rPr>
          <w:b/>
          <w:color w:val="00188F"/>
        </w:rPr>
        <w:t>Máximo de Minutos Disponíveis</w:t>
      </w:r>
      <w:r>
        <w:t>”</w:t>
      </w:r>
      <w:r w:rsidR="00C02802">
        <w:t xml:space="preserve"> designa a soma de todos os Minutos de Implementação em todos os Clusters implementados pelo Cliente numa determinada subscrição do Microsoft Azure durante um Período Aplicável.</w:t>
      </w:r>
    </w:p>
    <w:p w14:paraId="3ED3A569" w14:textId="5ED7516C" w:rsidR="00C02802" w:rsidRPr="00EF7CF9" w:rsidRDefault="00C02802" w:rsidP="00F01ED6">
      <w:pPr>
        <w:pStyle w:val="ProductList-Body"/>
      </w:pPr>
      <w:r>
        <w:rPr>
          <w:b/>
          <w:color w:val="00188F"/>
        </w:rPr>
        <w:t>Período de Indisponibilidade</w:t>
      </w:r>
      <w:r w:rsidRPr="00473DD3">
        <w:rPr>
          <w:b/>
          <w:color w:val="00188F"/>
        </w:rPr>
        <w:t>:</w:t>
      </w:r>
      <w:r>
        <w:t xml:space="preserve"> O total de Minutos de Implementação acumulados quando o Serviço HDInsight está indisponível. Um minuto é</w:t>
      </w:r>
      <w:r w:rsidR="00D2642C">
        <w:t> </w:t>
      </w:r>
      <w:r>
        <w:t>considerado indisponível para um determinado Cluster se falharem todas as tentativas contínuas nesse minuto para estabelecer uma ligação com</w:t>
      </w:r>
      <w:r w:rsidR="00D2642C">
        <w:t> </w:t>
      </w:r>
      <w:r>
        <w:t>o</w:t>
      </w:r>
      <w:r w:rsidR="002A42D2">
        <w:t> </w:t>
      </w:r>
      <w:r>
        <w:t>Gateway de Internet de Cluster.</w:t>
      </w:r>
    </w:p>
    <w:p w14:paraId="587D8928" w14:textId="5BA0AF4C" w:rsidR="00C0280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3039F77" w14:textId="77777777" w:rsidR="00C02802" w:rsidRPr="00547CB7" w:rsidRDefault="00C02802" w:rsidP="00F01ED6">
      <w:pPr>
        <w:pStyle w:val="ProductList-Body"/>
        <w:rPr>
          <w:sz w:val="12"/>
          <w:szCs w:val="12"/>
        </w:rPr>
      </w:pPr>
    </w:p>
    <w:p w14:paraId="1D099391" w14:textId="2A2DC884" w:rsidR="00C02802" w:rsidRPr="00EF7CF9"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36ED468" w14:textId="77777777" w:rsidR="00C02802" w:rsidRPr="00EF7CF9" w:rsidRDefault="00C0280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909096" w14:textId="77777777" w:rsidR="00C02802" w:rsidRPr="00EF7CF9" w:rsidRDefault="00C02802" w:rsidP="00F01ED6">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F01ED6">
            <w:pPr>
              <w:pStyle w:val="ProductList-OfferingBody"/>
              <w:jc w:val="center"/>
            </w:pPr>
            <w:r>
              <w:t>&lt; 99,9%</w:t>
            </w:r>
          </w:p>
        </w:tc>
        <w:tc>
          <w:tcPr>
            <w:tcW w:w="5400" w:type="dxa"/>
          </w:tcPr>
          <w:p w14:paraId="3303510C" w14:textId="77777777" w:rsidR="00C02802" w:rsidRPr="00EF7CF9" w:rsidRDefault="00C02802" w:rsidP="00F01ED6">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F01ED6">
            <w:pPr>
              <w:pStyle w:val="ProductList-OfferingBody"/>
              <w:jc w:val="center"/>
            </w:pPr>
            <w:r>
              <w:t>&lt; 99%</w:t>
            </w:r>
          </w:p>
        </w:tc>
        <w:tc>
          <w:tcPr>
            <w:tcW w:w="5400" w:type="dxa"/>
          </w:tcPr>
          <w:p w14:paraId="0A85BFFA" w14:textId="77777777" w:rsidR="00C02802" w:rsidRPr="00EF7CF9" w:rsidRDefault="00C02802" w:rsidP="00F01ED6">
            <w:pPr>
              <w:pStyle w:val="ProductList-OfferingBody"/>
              <w:jc w:val="center"/>
            </w:pPr>
            <w:r>
              <w:t>25%</w:t>
            </w:r>
          </w:p>
        </w:tc>
      </w:tr>
    </w:tbl>
    <w:p w14:paraId="0C9C19C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4F59" w14:textId="5874C7EB" w:rsidR="00E92C40" w:rsidRDefault="00E92C40" w:rsidP="000331B9">
      <w:pPr>
        <w:pStyle w:val="ProductList-Offering2Heading"/>
        <w:keepNext/>
        <w:tabs>
          <w:tab w:val="clear" w:pos="360"/>
        </w:tabs>
        <w:outlineLvl w:val="2"/>
      </w:pPr>
      <w:bookmarkStart w:id="270" w:name="_Toc182409673"/>
      <w:r>
        <w:t>Azure Health Data Services (excluindo o Serviço MedTech)</w:t>
      </w:r>
      <w:bookmarkEnd w:id="270"/>
    </w:p>
    <w:p w14:paraId="17EBEAAB" w14:textId="77777777" w:rsidR="00E92C40" w:rsidRDefault="00E92C40" w:rsidP="00F01ED6">
      <w:pPr>
        <w:pStyle w:val="ProductList-Body"/>
      </w:pPr>
      <w:r>
        <w:rPr>
          <w:b/>
          <w:color w:val="00188F"/>
        </w:rPr>
        <w:t>Definições Adicionais</w:t>
      </w:r>
      <w:r w:rsidRPr="00473DD3">
        <w:rPr>
          <w:b/>
          <w:color w:val="00188F"/>
        </w:rPr>
        <w:t>:</w:t>
      </w:r>
    </w:p>
    <w:p w14:paraId="509653B9" w14:textId="2E3EA685" w:rsidR="00E92C40" w:rsidRDefault="00380305" w:rsidP="00F01ED6">
      <w:pPr>
        <w:pStyle w:val="ProductList-Body"/>
      </w:pPr>
      <w:r>
        <w:t>“</w:t>
      </w:r>
      <w:r w:rsidR="00E92C40">
        <w:rPr>
          <w:b/>
          <w:color w:val="00188F"/>
        </w:rPr>
        <w:t>Total de Tentativas de Transação</w:t>
      </w:r>
      <w:r>
        <w:t>”</w:t>
      </w:r>
      <w:r w:rsidR="00E92C40">
        <w:t xml:space="preserve"> é o número total de pedidos da API autenticados efetuados pelo Cliente durante um Período Aplicável para uma determinada API de Health Data Services (excluindo o serviço MedTech). O Total de Tentativas de Transação não inclui os pedidos de API que devolvem um Código de Erro e que são repetidos continuamente num intervalo de cinco minutos após a receção do primeiro Código de Erro.</w:t>
      </w:r>
    </w:p>
    <w:p w14:paraId="3216C37D" w14:textId="61AC506C" w:rsidR="00E92C40" w:rsidRDefault="00380305" w:rsidP="00F01ED6">
      <w:pPr>
        <w:pStyle w:val="ProductList-Body"/>
      </w:pPr>
      <w:r>
        <w:t>“</w:t>
      </w:r>
      <w:r w:rsidR="00E92C40">
        <w:rPr>
          <w:b/>
          <w:color w:val="00188F"/>
        </w:rPr>
        <w:t>Transações com Falha</w:t>
      </w:r>
      <w:r>
        <w:t>”</w:t>
      </w:r>
      <w:r w:rsidR="00E92C40">
        <w:t xml:space="preserve"> é o conjunto de todos os pedidos para as APIs de Health Data Services (excluindo o serviço MedTech) no Total de Tentativas de Transação que devolve um Código de Erro. As Tentativas de Transação com Falha não incluem os pedidos de API que devolvem um</w:t>
      </w:r>
      <w:r w:rsidR="00EB63E8">
        <w:t> </w:t>
      </w:r>
      <w:r w:rsidR="00E92C40">
        <w:t>Código de Erro e que são repetidos continuamente num intervalo de cinco minutos após a receção do primeiro Código de Erro.</w:t>
      </w:r>
    </w:p>
    <w:p w14:paraId="2E565FBD" w14:textId="77777777" w:rsidR="00E92C40" w:rsidRPr="00547CB7" w:rsidRDefault="00E92C40" w:rsidP="00F01ED6">
      <w:pPr>
        <w:pStyle w:val="ProductList-Body"/>
        <w:rPr>
          <w:sz w:val="12"/>
          <w:szCs w:val="12"/>
        </w:rPr>
      </w:pPr>
    </w:p>
    <w:p w14:paraId="42A39A85" w14:textId="654E196D" w:rsidR="00E92C40" w:rsidRDefault="00EE6E3C" w:rsidP="00F01ED6">
      <w:pPr>
        <w:pStyle w:val="ProductList-Body"/>
        <w:rPr>
          <w:b/>
          <w:color w:val="00188F"/>
        </w:rPr>
      </w:pPr>
      <w:r>
        <w:rPr>
          <w:b/>
          <w:color w:val="00188F"/>
        </w:rPr>
        <w:t>Cálculo do Período de Disponibilidade</w:t>
      </w:r>
    </w:p>
    <w:p w14:paraId="196BB763" w14:textId="53CECA0D" w:rsidR="00E92C40" w:rsidRDefault="00AC48A7" w:rsidP="00F01ED6">
      <w:pPr>
        <w:pStyle w:val="ProductList-Body"/>
      </w:pPr>
      <w:r>
        <w:rPr>
          <w:b/>
          <w:color w:val="00188F"/>
        </w:rPr>
        <w:t>Percentagem de Período de Disponibilidade</w:t>
      </w:r>
      <w:r w:rsidRPr="00473DD3">
        <w:rPr>
          <w:b/>
          <w:color w:val="00188F"/>
        </w:rPr>
        <w:t>:</w:t>
      </w:r>
      <w:r>
        <w:t xml:space="preserve"> para cada serviço de API (excluindo o serviço MedTech) é calculado como o Total de Tentativas de</w:t>
      </w:r>
      <w:r w:rsidR="00397761">
        <w:t> </w:t>
      </w:r>
      <w:r>
        <w:t>Transação menos as Transações com Falha dividido pelo Total de Tentativas de Transação. A Percentagem de Período de Disponibilidade é</w:t>
      </w:r>
      <w:r w:rsidR="00397761">
        <w:t> </w:t>
      </w:r>
      <w:r>
        <w:t>representada pela seguinte fórmula:</w:t>
      </w:r>
    </w:p>
    <w:p w14:paraId="546706FD" w14:textId="77777777" w:rsidR="00E92C40" w:rsidRPr="00547CB7" w:rsidRDefault="00E92C40" w:rsidP="00F01ED6">
      <w:pPr>
        <w:pStyle w:val="ProductList-Body"/>
        <w:rPr>
          <w:sz w:val="12"/>
          <w:szCs w:val="12"/>
        </w:rPr>
      </w:pPr>
    </w:p>
    <w:p w14:paraId="0F83F054" w14:textId="37EC1970" w:rsidR="00E92C40" w:rsidRDefault="00000000" w:rsidP="007C4E4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53A786E1" w14:textId="77777777" w:rsidR="00E92C40" w:rsidRPr="00011653" w:rsidRDefault="00E92C40" w:rsidP="00F01ED6">
      <w:pPr>
        <w:pStyle w:val="ProductList-Body"/>
        <w:rPr>
          <w:b/>
          <w:color w:val="00188F"/>
        </w:rPr>
      </w:pPr>
      <w:r w:rsidRPr="00011653">
        <w:rPr>
          <w:b/>
          <w:color w:val="00188F"/>
        </w:rPr>
        <w:t>Os seguintes Níveis de Serviço e Créditos de Serviço são aplicáveis ao Azure Health Data Services (excluindo o serviço MedTech):</w:t>
      </w:r>
    </w:p>
    <w:p w14:paraId="3B350080" w14:textId="77777777" w:rsidR="00E92C40" w:rsidRDefault="00E92C40" w:rsidP="00517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517CFE">
            <w:pPr>
              <w:pStyle w:val="ProductList-OfferingBody"/>
              <w:keepNext/>
              <w:keepLines/>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517CFE">
            <w:pPr>
              <w:pStyle w:val="ProductList-OfferingBody"/>
              <w:keepNext/>
              <w:keepLines/>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F01ED6">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F01ED6">
            <w:pPr>
              <w:pStyle w:val="ProductList-OfferingBody"/>
              <w:jc w:val="center"/>
              <w:rPr>
                <w:kern w:val="2"/>
                <w14:ligatures w14:val="standardContextual"/>
              </w:rPr>
            </w:pPr>
            <w:r>
              <w:rPr>
                <w14:ligatures w14:val="standardContextual"/>
              </w:rPr>
              <w:t>25%</w:t>
            </w:r>
          </w:p>
        </w:tc>
      </w:tr>
    </w:tbl>
    <w:p w14:paraId="621E8B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2B7AEC" w14:textId="77777777" w:rsidR="008B23AE" w:rsidRPr="008B23AE" w:rsidRDefault="008B23AE" w:rsidP="00F01ED6">
      <w:pPr>
        <w:pStyle w:val="ProductList-Offering2Heading"/>
        <w:keepNext/>
        <w:tabs>
          <w:tab w:val="clear" w:pos="360"/>
          <w:tab w:val="clear" w:pos="720"/>
          <w:tab w:val="clear" w:pos="1080"/>
        </w:tabs>
        <w:outlineLvl w:val="2"/>
      </w:pPr>
      <w:bookmarkStart w:id="271" w:name="_Toc182409674"/>
      <w:r>
        <w:t>Health Bot</w:t>
      </w:r>
      <w:bookmarkEnd w:id="271"/>
    </w:p>
    <w:p w14:paraId="761783E0" w14:textId="77777777" w:rsidR="008B23AE" w:rsidRPr="008B23AE" w:rsidRDefault="008B23AE" w:rsidP="00F01ED6">
      <w:pPr>
        <w:pStyle w:val="ProductList-Body"/>
        <w:keepNext/>
        <w:rPr>
          <w:b/>
          <w:bCs/>
          <w:color w:val="00188F"/>
        </w:rPr>
      </w:pPr>
      <w:r>
        <w:rPr>
          <w:b/>
          <w:bCs/>
          <w:color w:val="00188F"/>
        </w:rPr>
        <w:t>Definições Adicionais</w:t>
      </w:r>
    </w:p>
    <w:p w14:paraId="7F2B27E6" w14:textId="7BB4BB45" w:rsidR="008B23AE" w:rsidRDefault="00380305" w:rsidP="00F01ED6">
      <w:pPr>
        <w:pStyle w:val="ProductList-Body"/>
      </w:pPr>
      <w:r>
        <w:t>“</w:t>
      </w:r>
      <w:r w:rsidR="008B23AE">
        <w:rPr>
          <w:b/>
          <w:bCs/>
          <w:color w:val="00188F"/>
        </w:rPr>
        <w:t>Canal Premium do Azure Health Bot</w:t>
      </w:r>
      <w:r>
        <w:t>”</w:t>
      </w:r>
      <w:r w:rsidR="008B23AE">
        <w:t xml:space="preserve"> designa um canal de Enquadramento de Bots na categoria premium. incluindo o Webchat e o Direct Line.</w:t>
      </w:r>
    </w:p>
    <w:p w14:paraId="55A4B3E0" w14:textId="7C7C6621" w:rsidR="008B23AE" w:rsidRDefault="00380305" w:rsidP="00F01ED6">
      <w:pPr>
        <w:pStyle w:val="ProductList-Body"/>
      </w:pPr>
      <w:r>
        <w:t>“</w:t>
      </w:r>
      <w:r w:rsidR="008B23AE">
        <w:rPr>
          <w:b/>
          <w:bCs/>
          <w:color w:val="00188F"/>
        </w:rPr>
        <w:t>Aplicação Cliente do Health Bot</w:t>
      </w:r>
      <w:r>
        <w:t>”</w:t>
      </w:r>
      <w:r w:rsidR="008B23AE">
        <w:t xml:space="preserve"> designa a aplicação de conversação virada para a internet do Health Bot do cliente, que está registada e</w:t>
      </w:r>
      <w:r w:rsidR="002F6051">
        <w:t> </w:t>
      </w:r>
      <w:r w:rsidR="008B23AE">
        <w:t>configurada para enviar e receber mensagens do Azure Health Bot Service.</w:t>
      </w:r>
    </w:p>
    <w:p w14:paraId="459B7380" w14:textId="32C1D06F" w:rsidR="008B23AE" w:rsidRDefault="00380305" w:rsidP="00F01ED6">
      <w:pPr>
        <w:pStyle w:val="ProductList-Body"/>
      </w:pPr>
      <w:r>
        <w:t>“</w:t>
      </w:r>
      <w:r w:rsidR="008B23AE">
        <w:rPr>
          <w:b/>
          <w:bCs/>
          <w:color w:val="00188F"/>
        </w:rPr>
        <w:t>Cliente do Health Bot</w:t>
      </w:r>
      <w:r>
        <w:t>”</w:t>
      </w:r>
      <w:r w:rsidR="008B23AE">
        <w:t xml:space="preserve"> é a parte destinada ao utilizador final de uma Aplicação Cliente do Health Bot.</w:t>
      </w:r>
    </w:p>
    <w:p w14:paraId="7098DA7D" w14:textId="6D1C2664" w:rsidR="008B23AE" w:rsidRDefault="00380305" w:rsidP="00F01ED6">
      <w:pPr>
        <w:pStyle w:val="ProductList-Body"/>
      </w:pPr>
      <w:r>
        <w:t>“</w:t>
      </w:r>
      <w:r w:rsidR="008B23AE">
        <w:rPr>
          <w:b/>
          <w:bCs/>
          <w:color w:val="00188F"/>
        </w:rPr>
        <w:t>Azure Health Bot</w:t>
      </w:r>
      <w:r>
        <w:t>”</w:t>
      </w:r>
      <w:r w:rsidR="008B23AE">
        <w:t xml:space="preserve"> designa uma plataforma para a criação, ligação, testes e implementação de assistentes virtuais inteligentes.</w:t>
      </w:r>
    </w:p>
    <w:p w14:paraId="0FD30F46" w14:textId="0C4A78F2" w:rsidR="008B23AE" w:rsidRDefault="00380305" w:rsidP="00F01ED6">
      <w:pPr>
        <w:pStyle w:val="ProductList-Body"/>
      </w:pPr>
      <w:r>
        <w:t>“</w:t>
      </w:r>
      <w:r w:rsidR="008B23AE">
        <w:rPr>
          <w:b/>
          <w:bCs/>
          <w:color w:val="00188F"/>
        </w:rPr>
        <w:t>Ponto Final da API de Canais do Azure Health Bot</w:t>
      </w:r>
      <w:r>
        <w:t>”</w:t>
      </w:r>
      <w:r w:rsidR="008B23AE">
        <w:t xml:space="preserve"> é um ponto final de API REST que o Cliente do Health Bot utiliza para a comunicação HTTP através dos Canais do Health Bot.</w:t>
      </w:r>
    </w:p>
    <w:p w14:paraId="51948353" w14:textId="3D5FA8B9" w:rsidR="008B23AE" w:rsidRDefault="00380305" w:rsidP="00F01ED6">
      <w:pPr>
        <w:pStyle w:val="ProductList-Body"/>
      </w:pPr>
      <w:r>
        <w:t>“</w:t>
      </w:r>
      <w:r w:rsidR="008B23AE">
        <w:rPr>
          <w:b/>
          <w:bCs/>
          <w:color w:val="00188F"/>
        </w:rPr>
        <w:t>Total de Pedidos de API</w:t>
      </w:r>
      <w:r>
        <w:t>”</w:t>
      </w:r>
      <w:r w:rsidR="008B23AE">
        <w:t xml:space="preserve"> designa o número total de pedidos de HTTP feitos pela Aplicação Cliente do Health Bot ou pelo Cliente do Health Bot para o Ponto Final da API de Canais do Azure Health Bot durante um Período Aplicável.</w:t>
      </w:r>
    </w:p>
    <w:p w14:paraId="26D47C0E" w14:textId="6394929D" w:rsidR="008B23AE" w:rsidRDefault="00380305" w:rsidP="00F01ED6">
      <w:pPr>
        <w:pStyle w:val="ProductList-Body"/>
      </w:pPr>
      <w:r>
        <w:t>“</w:t>
      </w:r>
      <w:r w:rsidR="008B23AE">
        <w:rPr>
          <w:b/>
          <w:bCs/>
          <w:color w:val="00188F"/>
        </w:rPr>
        <w:t>Pedidos de API com Falha</w:t>
      </w:r>
      <w:r>
        <w:t>”</w:t>
      </w:r>
      <w:r w:rsidR="008B23AE">
        <w:t xml:space="preserve"> designa o número total de pedidos no Total de Pedidos de API que devolvem um Código de Erro ou não respondem em 2 minutos.</w:t>
      </w:r>
    </w:p>
    <w:p w14:paraId="051FDBFA" w14:textId="4DA78F8B" w:rsidR="008B23AE" w:rsidRDefault="00380305" w:rsidP="00F01ED6">
      <w:pPr>
        <w:pStyle w:val="ProductList-Body"/>
      </w:pPr>
      <w:r>
        <w:t>“</w:t>
      </w:r>
      <w:r w:rsidR="008B23AE">
        <w:rPr>
          <w:b/>
          <w:bCs/>
          <w:color w:val="00188F"/>
        </w:rPr>
        <w:t>Percentagem de Período de Disponibilidade</w:t>
      </w:r>
      <w:r>
        <w:t>”</w:t>
      </w:r>
      <w:r w:rsidR="008B23AE">
        <w:t xml:space="preserve"> é calculada como o Total de Pedidos de API menos os Pedidos de API com Falha a dividir pelo Total de Pedidos de API multiplicado por 100.</w:t>
      </w:r>
    </w:p>
    <w:p w14:paraId="5CBB5BBD" w14:textId="677D4BEA" w:rsidR="008B23AE" w:rsidRDefault="00AC48A7" w:rsidP="00F01ED6">
      <w:pPr>
        <w:pStyle w:val="ProductList-Body"/>
      </w:pPr>
      <w:r>
        <w:rPr>
          <w:b/>
          <w:bCs/>
          <w:color w:val="00188F"/>
        </w:rPr>
        <w:t>Percentagem de Período de Disponibilidade:</w:t>
      </w:r>
      <w:r>
        <w:rPr>
          <w:color w:val="00188F"/>
        </w:rPr>
        <w:t xml:space="preserve"> </w:t>
      </w:r>
      <w:r>
        <w:t>A Percentagem de Período de Disponibilidade é calculada através da seguinte fórmula:</w:t>
      </w:r>
    </w:p>
    <w:p w14:paraId="0AA53576" w14:textId="77777777" w:rsidR="00766665" w:rsidRPr="00547CB7" w:rsidRDefault="00766665" w:rsidP="00F01ED6">
      <w:pPr>
        <w:pStyle w:val="ProductList-Body"/>
        <w:rPr>
          <w:sz w:val="12"/>
          <w:szCs w:val="12"/>
        </w:rPr>
      </w:pPr>
    </w:p>
    <w:p w14:paraId="7F009D58" w14:textId="1B0CF482" w:rsidR="00766665" w:rsidRPr="00EF7CF9" w:rsidRDefault="00000000" w:rsidP="007C4E4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F01ED6">
      <w:pPr>
        <w:pStyle w:val="ProductList-Body"/>
        <w:rPr>
          <w:b/>
          <w:bCs/>
          <w:color w:val="00188F"/>
        </w:rPr>
      </w:pPr>
      <w:r>
        <w:rPr>
          <w:b/>
          <w:bCs/>
          <w:color w:val="00188F"/>
        </w:rPr>
        <w:t>Os seguintes Níveis de Serviço e Créditos de Serviço são aplicáveis à utilização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D72F0BE" w14:textId="77777777" w:rsidR="009A72F9" w:rsidRPr="00EF7CF9" w:rsidRDefault="009A72F9" w:rsidP="00F01ED6">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F01ED6">
            <w:pPr>
              <w:pStyle w:val="ProductList-OfferingBody"/>
              <w:jc w:val="center"/>
            </w:pPr>
            <w:r>
              <w:t>&lt; 99,9%</w:t>
            </w:r>
          </w:p>
        </w:tc>
        <w:tc>
          <w:tcPr>
            <w:tcW w:w="5400" w:type="dxa"/>
          </w:tcPr>
          <w:p w14:paraId="568815FC" w14:textId="77777777" w:rsidR="009A72F9" w:rsidRPr="00EF7CF9" w:rsidRDefault="009A72F9" w:rsidP="00F01ED6">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F01ED6">
            <w:pPr>
              <w:pStyle w:val="ProductList-OfferingBody"/>
              <w:jc w:val="center"/>
            </w:pPr>
            <w:r>
              <w:t>&lt; 99%</w:t>
            </w:r>
          </w:p>
        </w:tc>
        <w:tc>
          <w:tcPr>
            <w:tcW w:w="5400" w:type="dxa"/>
          </w:tcPr>
          <w:p w14:paraId="0D206D89" w14:textId="77777777" w:rsidR="009A72F9" w:rsidRPr="00EF7CF9" w:rsidRDefault="009A72F9" w:rsidP="00F01ED6">
            <w:pPr>
              <w:pStyle w:val="ProductList-OfferingBody"/>
              <w:jc w:val="center"/>
            </w:pPr>
            <w:r>
              <w:t>25%</w:t>
            </w:r>
          </w:p>
        </w:tc>
      </w:tr>
    </w:tbl>
    <w:bookmarkStart w:id="272" w:name="_Toc457821532"/>
    <w:bookmarkStart w:id="273" w:name="_Toc52349006"/>
    <w:bookmarkStart w:id="274" w:name="AzureRightsManagementPremium"/>
    <w:p w14:paraId="0756A1D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93FBDBF" w14:textId="77777777" w:rsidR="003C3496" w:rsidRPr="00EF7CF9" w:rsidRDefault="003C3496" w:rsidP="00F01ED6">
      <w:pPr>
        <w:pStyle w:val="ProductList-Offering2Heading"/>
        <w:keepNext/>
        <w:tabs>
          <w:tab w:val="clear" w:pos="360"/>
          <w:tab w:val="clear" w:pos="720"/>
          <w:tab w:val="clear" w:pos="1080"/>
        </w:tabs>
        <w:outlineLvl w:val="2"/>
      </w:pPr>
      <w:bookmarkStart w:id="275" w:name="_Toc182409675"/>
      <w:r>
        <w:t>Proteção de Informação do Azure</w:t>
      </w:r>
      <w:bookmarkEnd w:id="272"/>
      <w:bookmarkEnd w:id="273"/>
      <w:bookmarkEnd w:id="275"/>
    </w:p>
    <w:bookmarkEnd w:id="274"/>
    <w:p w14:paraId="1D5F3E5D" w14:textId="36CE836E" w:rsidR="003C3496" w:rsidRPr="00EF7CF9" w:rsidRDefault="003C3496"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criar ou consumir documentos e</w:t>
      </w:r>
      <w:r w:rsidR="00EB4506">
        <w:rPr>
          <w:szCs w:val="18"/>
        </w:rPr>
        <w:t> </w:t>
      </w:r>
      <w:r>
        <w:rPr>
          <w:szCs w:val="18"/>
        </w:rPr>
        <w:t>mensagens de e-mail de IRM.</w:t>
      </w:r>
    </w:p>
    <w:p w14:paraId="0D5DE02B" w14:textId="5DF68E16" w:rsidR="003C349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6D79B5" w14:textId="77777777" w:rsidR="003C3496" w:rsidRPr="007C4E48" w:rsidRDefault="003C3496" w:rsidP="00F01ED6">
      <w:pPr>
        <w:pStyle w:val="ProductList-Body"/>
        <w:rPr>
          <w:sz w:val="12"/>
          <w:szCs w:val="12"/>
        </w:rPr>
      </w:pPr>
    </w:p>
    <w:p w14:paraId="33E2F56A" w14:textId="51E42AEE" w:rsidR="003C3496" w:rsidRPr="00EF7CF9" w:rsidRDefault="00000000" w:rsidP="007C4E4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4EDA320" w14:textId="1646DCCB" w:rsidR="003C349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76B2706" w14:textId="77777777" w:rsidR="003C3496" w:rsidRPr="00EF7CF9" w:rsidRDefault="003C349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D544037" w14:textId="77777777" w:rsidR="003C3496" w:rsidRPr="00EF7CF9" w:rsidRDefault="003C3496" w:rsidP="00F01ED6">
            <w:pPr>
              <w:pStyle w:val="ProductList-OfferingBody"/>
              <w:jc w:val="center"/>
              <w:rPr>
                <w:color w:val="FFFFFF" w:themeColor="background1"/>
              </w:rPr>
            </w:pPr>
            <w:r>
              <w:rPr>
                <w:color w:val="FFFFFF" w:themeColor="background1"/>
              </w:rPr>
              <w:t>Crédito de Serviço</w:t>
            </w:r>
          </w:p>
        </w:tc>
      </w:tr>
      <w:tr w:rsidR="003C3496" w:rsidRPr="00B44CF9" w14:paraId="0B43A41B" w14:textId="77777777" w:rsidTr="00277097">
        <w:tc>
          <w:tcPr>
            <w:tcW w:w="5400" w:type="dxa"/>
          </w:tcPr>
          <w:p w14:paraId="75C11FE0" w14:textId="77777777" w:rsidR="003C3496" w:rsidRPr="00EF7CF9" w:rsidRDefault="003C3496" w:rsidP="00F01ED6">
            <w:pPr>
              <w:pStyle w:val="ProductList-OfferingBody"/>
              <w:jc w:val="center"/>
            </w:pPr>
            <w:r>
              <w:t>&lt; 99,9%</w:t>
            </w:r>
          </w:p>
        </w:tc>
        <w:tc>
          <w:tcPr>
            <w:tcW w:w="5400" w:type="dxa"/>
          </w:tcPr>
          <w:p w14:paraId="0CF0C1B3" w14:textId="77777777" w:rsidR="003C3496" w:rsidRPr="00EF7CF9" w:rsidRDefault="003C3496" w:rsidP="00F01ED6">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F01ED6">
            <w:pPr>
              <w:pStyle w:val="ProductList-OfferingBody"/>
              <w:jc w:val="center"/>
            </w:pPr>
            <w:r>
              <w:t>&lt; 99%</w:t>
            </w:r>
          </w:p>
        </w:tc>
        <w:tc>
          <w:tcPr>
            <w:tcW w:w="5400" w:type="dxa"/>
          </w:tcPr>
          <w:p w14:paraId="1218794A" w14:textId="77777777" w:rsidR="003C3496" w:rsidRPr="00EF7CF9" w:rsidRDefault="003C3496" w:rsidP="00F01ED6">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F01ED6">
            <w:pPr>
              <w:pStyle w:val="ProductList-OfferingBody"/>
              <w:jc w:val="center"/>
            </w:pPr>
            <w:r>
              <w:t>&lt; 95%</w:t>
            </w:r>
          </w:p>
        </w:tc>
        <w:tc>
          <w:tcPr>
            <w:tcW w:w="5400" w:type="dxa"/>
          </w:tcPr>
          <w:p w14:paraId="1CED26AF" w14:textId="77777777" w:rsidR="003C3496" w:rsidRPr="00EF7CF9" w:rsidRDefault="003C3496" w:rsidP="00F01ED6">
            <w:pPr>
              <w:pStyle w:val="ProductList-OfferingBody"/>
              <w:jc w:val="center"/>
            </w:pPr>
            <w:r>
              <w:t>100%</w:t>
            </w:r>
          </w:p>
        </w:tc>
      </w:tr>
    </w:tbl>
    <w:bookmarkStart w:id="276" w:name="_Toc526859685"/>
    <w:bookmarkStart w:id="277" w:name="_Toc52348959"/>
    <w:p w14:paraId="4D390FA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6D2BC5" w14:textId="77777777" w:rsidR="007B07AE" w:rsidRPr="00EF7CF9" w:rsidRDefault="007B07AE" w:rsidP="00174388">
      <w:pPr>
        <w:pStyle w:val="ProductList-Offering2Heading"/>
        <w:keepNext/>
        <w:keepLines/>
        <w:tabs>
          <w:tab w:val="clear" w:pos="360"/>
          <w:tab w:val="clear" w:pos="720"/>
          <w:tab w:val="clear" w:pos="1080"/>
        </w:tabs>
        <w:outlineLvl w:val="2"/>
      </w:pPr>
      <w:bookmarkStart w:id="278" w:name="_Toc182409676"/>
      <w:r>
        <w:t>Azure IoT Central</w:t>
      </w:r>
      <w:bookmarkEnd w:id="276"/>
      <w:bookmarkEnd w:id="277"/>
      <w:bookmarkEnd w:id="278"/>
    </w:p>
    <w:p w14:paraId="5E34EF0B" w14:textId="77777777" w:rsidR="007B07AE" w:rsidRPr="00EF7CF9" w:rsidRDefault="007B07AE" w:rsidP="00174388">
      <w:pPr>
        <w:pStyle w:val="ProductList-Body"/>
        <w:keepNext/>
        <w:keepLines/>
        <w:rPr>
          <w:b/>
          <w:color w:val="00188F"/>
        </w:rPr>
      </w:pPr>
      <w:r>
        <w:rPr>
          <w:b/>
          <w:color w:val="00188F"/>
        </w:rPr>
        <w:t>Definições Adicionais</w:t>
      </w:r>
      <w:r w:rsidRPr="00473DD3">
        <w:rPr>
          <w:b/>
          <w:color w:val="00188F"/>
        </w:rPr>
        <w:t>:</w:t>
      </w:r>
    </w:p>
    <w:p w14:paraId="2FC367F7" w14:textId="56B4F6B4" w:rsidR="007B07AE" w:rsidRPr="00EF7CF9" w:rsidRDefault="00380305" w:rsidP="00F01ED6">
      <w:pPr>
        <w:pStyle w:val="ProductList-Body"/>
        <w:spacing w:after="40"/>
      </w:pPr>
      <w:r>
        <w:t>“</w:t>
      </w:r>
      <w:r w:rsidR="007B07AE">
        <w:rPr>
          <w:b/>
          <w:color w:val="00188F"/>
        </w:rPr>
        <w:t>Minutos de Implementação</w:t>
      </w:r>
      <w:r>
        <w:t>”</w:t>
      </w:r>
      <w:r w:rsidR="007B07AE">
        <w:t xml:space="preserve"> designa o número total de minutos que uma determinada aplicação IoT Central foi implementada numa determinada Subscrição do Microsoft Azure, durante um Período Aplicável.</w:t>
      </w:r>
    </w:p>
    <w:p w14:paraId="767848F1" w14:textId="773AD5A8" w:rsidR="007B07AE" w:rsidRPr="00EF7CF9" w:rsidRDefault="00380305" w:rsidP="00F01ED6">
      <w:pPr>
        <w:pStyle w:val="ProductList-Body"/>
        <w:spacing w:after="40"/>
      </w:pPr>
      <w:r>
        <w:t>“</w:t>
      </w:r>
      <w:r w:rsidR="007B07AE">
        <w:rPr>
          <w:b/>
          <w:color w:val="00188F"/>
        </w:rPr>
        <w:t>Operações de Identidade do Dispositivo</w:t>
      </w:r>
      <w:r>
        <w:t>”</w:t>
      </w:r>
      <w:r w:rsidR="007B07AE">
        <w:t xml:space="preserve"> designa as operações de criação, leitura, atualização e eliminação executadas nos dispositivos de uma aplicação do IoT Central.</w:t>
      </w:r>
    </w:p>
    <w:p w14:paraId="7F933A10" w14:textId="499A83BE" w:rsidR="007B07AE" w:rsidRPr="00EF7CF9" w:rsidRDefault="00380305" w:rsidP="00F01ED6">
      <w:pPr>
        <w:pStyle w:val="ProductList-Body"/>
      </w:pPr>
      <w:r>
        <w:t>“</w:t>
      </w:r>
      <w:r w:rsidR="007B07AE">
        <w:rPr>
          <w:b/>
          <w:color w:val="00188F"/>
        </w:rPr>
        <w:t>Máximo de Minutos Disponíveis:</w:t>
      </w:r>
      <w:r>
        <w:t>”</w:t>
      </w:r>
      <w:r w:rsidR="007B07AE">
        <w:t xml:space="preserve"> designa a soma de todos os Minutos de Implementação em todas as aplicações de IoT Central implementadas, numa determinada subscrição do Microsoft Azure durante um Período Aplicável.</w:t>
      </w:r>
    </w:p>
    <w:p w14:paraId="4E276309" w14:textId="572263DD" w:rsidR="007B07AE" w:rsidRPr="00EF7CF9" w:rsidRDefault="00380305" w:rsidP="00F01ED6">
      <w:pPr>
        <w:pStyle w:val="ProductList-Body"/>
      </w:pPr>
      <w:r>
        <w:t>“</w:t>
      </w:r>
      <w:r w:rsidR="007B07AE">
        <w:rPr>
          <w:b/>
          <w:color w:val="00188F"/>
        </w:rPr>
        <w:t>Mensagem</w:t>
      </w:r>
      <w:r>
        <w:t>”</w:t>
      </w:r>
      <w:r w:rsidR="007B07AE">
        <w:t xml:space="preserve"> designa qualquer conteúdo enviado por uma aplicação do IoT Central implementada para um dispositivo registado na aplicação do IoT Central ou recebido pela aplicação do IoT Central da parte de um dispositivo registado. </w:t>
      </w:r>
    </w:p>
    <w:p w14:paraId="5867CA80" w14:textId="1A0E2F96" w:rsidR="007B07AE" w:rsidRPr="00EF7CF9" w:rsidRDefault="007B07AE" w:rsidP="00F01ED6">
      <w:pPr>
        <w:pStyle w:val="ProductList-Body"/>
      </w:pPr>
      <w:r>
        <w:rPr>
          <w:b/>
          <w:color w:val="00188F"/>
        </w:rPr>
        <w:t>Período de Indisponibilidade</w:t>
      </w:r>
      <w:r w:rsidRPr="00473DD3">
        <w:rPr>
          <w:b/>
          <w:color w:val="00188F"/>
        </w:rPr>
        <w:t>:</w:t>
      </w:r>
      <w:r>
        <w:t xml:space="preserve"> O total acumulado de Máximo de Minutos Disponíveis durante o qual o IoT Central está indisponível. Um minuto é</w:t>
      </w:r>
      <w:r w:rsidR="009B1D48">
        <w:t> </w:t>
      </w:r>
      <w:r>
        <w:t>considerado indisponível para um determinado IoT Central se todas as tentativas contínuas para enviar ou receber Mensagens ou executar Operações de Identidade do Dispositivo no IoT Central durante esse minuto devolverem um Código de Erro ou não resultarem num Código de Êxito no prazo de cinco minutos.</w:t>
      </w:r>
    </w:p>
    <w:p w14:paraId="75B7A6D8" w14:textId="59690245" w:rsidR="007B07A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188AA47" w14:textId="77777777" w:rsidR="007B07AE" w:rsidRPr="00EF7CF9" w:rsidRDefault="007B07AE" w:rsidP="00F01ED6">
      <w:pPr>
        <w:pStyle w:val="ProductList-Body"/>
      </w:pPr>
    </w:p>
    <w:p w14:paraId="12F9185F" w14:textId="41F09970" w:rsidR="007B07AE"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928BF49" w14:textId="77777777" w:rsidR="007B07AE" w:rsidRPr="00EF7CF9" w:rsidRDefault="007B07A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13DF97" w14:textId="77777777" w:rsidR="007B07AE" w:rsidRPr="005A3C16" w:rsidRDefault="007B07AE" w:rsidP="00F01ED6">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F01ED6">
            <w:pPr>
              <w:pStyle w:val="ProductList-OfferingBody"/>
              <w:jc w:val="center"/>
            </w:pPr>
            <w:r>
              <w:t>&lt; 99,9%</w:t>
            </w:r>
          </w:p>
        </w:tc>
        <w:tc>
          <w:tcPr>
            <w:tcW w:w="5400" w:type="dxa"/>
          </w:tcPr>
          <w:p w14:paraId="45DADE55" w14:textId="77777777" w:rsidR="007B07AE" w:rsidRPr="005A3C16" w:rsidRDefault="007B07AE" w:rsidP="00F01ED6">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F01ED6">
            <w:pPr>
              <w:pStyle w:val="ProductList-OfferingBody"/>
              <w:jc w:val="center"/>
            </w:pPr>
            <w:r>
              <w:t>&lt; 99%</w:t>
            </w:r>
          </w:p>
        </w:tc>
        <w:tc>
          <w:tcPr>
            <w:tcW w:w="5400" w:type="dxa"/>
          </w:tcPr>
          <w:p w14:paraId="0C3ECDD2" w14:textId="77777777" w:rsidR="007B07AE" w:rsidRPr="005A3C16" w:rsidRDefault="007B07AE" w:rsidP="00F01ED6">
            <w:pPr>
              <w:pStyle w:val="ProductList-OfferingBody"/>
              <w:jc w:val="center"/>
            </w:pPr>
            <w:r>
              <w:t>25%</w:t>
            </w:r>
          </w:p>
        </w:tc>
      </w:tr>
    </w:tbl>
    <w:bookmarkStart w:id="279" w:name="_Toc457821553"/>
    <w:bookmarkStart w:id="280" w:name="_Toc52348960"/>
    <w:bookmarkStart w:id="281" w:name="IoTHub"/>
    <w:p w14:paraId="1AD55E7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B306458" w14:textId="77777777" w:rsidR="00A33D05" w:rsidRPr="00EF7CF9" w:rsidRDefault="00A33D05" w:rsidP="00F01ED6">
      <w:pPr>
        <w:pStyle w:val="ProductList-Offering2Heading"/>
        <w:tabs>
          <w:tab w:val="clear" w:pos="360"/>
          <w:tab w:val="clear" w:pos="720"/>
          <w:tab w:val="clear" w:pos="1080"/>
        </w:tabs>
        <w:outlineLvl w:val="2"/>
      </w:pPr>
      <w:bookmarkStart w:id="282" w:name="_Toc182409677"/>
      <w:r>
        <w:t>Hub IoT do Azure</w:t>
      </w:r>
      <w:bookmarkEnd w:id="279"/>
      <w:bookmarkEnd w:id="280"/>
      <w:bookmarkEnd w:id="282"/>
    </w:p>
    <w:bookmarkEnd w:id="281"/>
    <w:p w14:paraId="0A867471" w14:textId="1FB08987" w:rsidR="00A33D05" w:rsidRDefault="00EE6E3C" w:rsidP="00F01ED6">
      <w:pPr>
        <w:pStyle w:val="ProductList-Body"/>
        <w:rPr>
          <w:b/>
          <w:color w:val="00188F"/>
        </w:rPr>
      </w:pPr>
      <w:r>
        <w:rPr>
          <w:b/>
          <w:color w:val="00188F"/>
        </w:rPr>
        <w:t>Cálculo do Período de Disponibilidade e Níveis de Serviço para Hubs de IoT</w:t>
      </w:r>
    </w:p>
    <w:p w14:paraId="632DB8E3" w14:textId="77777777" w:rsidR="00A33D05" w:rsidRPr="00EF7CF9" w:rsidRDefault="00A33D05" w:rsidP="00F01ED6">
      <w:pPr>
        <w:pStyle w:val="ProductList-Body"/>
        <w:rPr>
          <w:b/>
          <w:color w:val="00188F"/>
        </w:rPr>
      </w:pPr>
      <w:r>
        <w:rPr>
          <w:b/>
          <w:color w:val="00188F"/>
        </w:rPr>
        <w:t>Definições Adicionais</w:t>
      </w:r>
      <w:r w:rsidRPr="00473DD3">
        <w:rPr>
          <w:b/>
          <w:color w:val="00188F"/>
        </w:rPr>
        <w:t>:</w:t>
      </w:r>
    </w:p>
    <w:p w14:paraId="6C1AD240" w14:textId="111F7539" w:rsidR="00A33D05" w:rsidRPr="00EF7CF9" w:rsidRDefault="00380305" w:rsidP="00F01ED6">
      <w:pPr>
        <w:pStyle w:val="ProductList-Body"/>
        <w:spacing w:after="40"/>
      </w:pPr>
      <w:r>
        <w:t>“</w:t>
      </w:r>
      <w:r w:rsidR="00A33D05">
        <w:rPr>
          <w:b/>
          <w:color w:val="00188F"/>
        </w:rPr>
        <w:t>Minutos de Implementação</w:t>
      </w:r>
      <w:r>
        <w:t>”</w:t>
      </w:r>
      <w:r w:rsidR="00A33D05">
        <w:t xml:space="preserve"> designa o número total de minutos durante os quais um determinado Hub de IoT foi implementado no Microsoft Azure durante um Período Aplicável.</w:t>
      </w:r>
    </w:p>
    <w:p w14:paraId="5C00CFC5" w14:textId="2A5AFF51" w:rsidR="00A33D05" w:rsidRPr="00EF7CF9" w:rsidRDefault="00380305" w:rsidP="00F01ED6">
      <w:pPr>
        <w:pStyle w:val="ProductList-Body"/>
        <w:spacing w:after="40"/>
      </w:pPr>
      <w:r>
        <w:t>“</w:t>
      </w:r>
      <w:r w:rsidR="00A33D05">
        <w:rPr>
          <w:b/>
          <w:color w:val="00188F"/>
        </w:rPr>
        <w:t>Operações de Identidade do Dispositivo</w:t>
      </w:r>
      <w:r>
        <w:t>”</w:t>
      </w:r>
      <w:r w:rsidR="00A33D05">
        <w:t xml:space="preserve"> designa a criação, a leitura, a atualização e a eliminação das operações executadas no registo de</w:t>
      </w:r>
      <w:r w:rsidR="009F6821">
        <w:t> </w:t>
      </w:r>
      <w:r w:rsidR="00A33D05">
        <w:t>identidade do dispositivo de um Hub de IoT.</w:t>
      </w:r>
    </w:p>
    <w:p w14:paraId="262F8F69" w14:textId="77A9CF9F" w:rsidR="00A33D05" w:rsidRPr="00EF7CF9" w:rsidRDefault="00380305" w:rsidP="00F01ED6">
      <w:pPr>
        <w:pStyle w:val="ProductList-Body"/>
      </w:pPr>
      <w:r>
        <w:t>“</w:t>
      </w:r>
      <w:r w:rsidR="00A33D05">
        <w:rPr>
          <w:b/>
          <w:color w:val="00188F"/>
        </w:rPr>
        <w:t>Máximo de Minutos Disponíveis</w:t>
      </w:r>
      <w:r>
        <w:t>”</w:t>
      </w:r>
      <w:r w:rsidR="00A33D05">
        <w:t xml:space="preserve"> designa a soma de todos os Minutos de Implementação em todos os Hubs de IoT implementados pelo Cliente numa determinada subscrição do Microsoft Azure durante um Período Aplicável.</w:t>
      </w:r>
    </w:p>
    <w:p w14:paraId="099D76A1" w14:textId="5D8B4BD1" w:rsidR="00A33D05" w:rsidRPr="00EF7CF9" w:rsidRDefault="00380305" w:rsidP="00F01ED6">
      <w:pPr>
        <w:pStyle w:val="ProductList-Body"/>
      </w:pPr>
      <w:r>
        <w:t>“</w:t>
      </w:r>
      <w:r w:rsidR="00A33D05">
        <w:rPr>
          <w:b/>
          <w:color w:val="00188F"/>
        </w:rPr>
        <w:t>Mensagem</w:t>
      </w:r>
      <w:r>
        <w:t>”</w:t>
      </w:r>
      <w:r w:rsidR="00A33D05">
        <w:t xml:space="preserve"> designa qualquer conteúdo enviado por um Hub de IoT implementado para um dispositivo registado no Hub de IoT ou recebido pelo</w:t>
      </w:r>
      <w:r w:rsidR="00C22FFB">
        <w:t> </w:t>
      </w:r>
      <w:r w:rsidR="00A33D05">
        <w:t xml:space="preserve">Hub de IoT da parte de um dispositivo registado e que utilize qualquer protocolo suportado pelo Serviço. </w:t>
      </w:r>
    </w:p>
    <w:p w14:paraId="78DCBCE7" w14:textId="3A1C7A7C" w:rsidR="00A33D05" w:rsidRPr="00EF7CF9" w:rsidRDefault="00A33D05" w:rsidP="00F01ED6">
      <w:pPr>
        <w:pStyle w:val="ProductList-Body"/>
      </w:pPr>
      <w:r>
        <w:rPr>
          <w:b/>
          <w:color w:val="00188F"/>
        </w:rPr>
        <w:t>Período de Indisponibilidade</w:t>
      </w:r>
      <w:r w:rsidRPr="00473DD3">
        <w:rPr>
          <w:b/>
          <w:color w:val="00188F"/>
        </w:rPr>
        <w:t>:</w:t>
      </w:r>
      <w:r>
        <w:t xml:space="preserve"> O total acumulado de Minutos de Implementação, em todos os Hubs de IoT implementados numa determinada subscrição do Microsoft Azure, durante os quais o Hub de IoT está indisponível. Um minuto é considerado indisponível para um determinado Hub</w:t>
      </w:r>
      <w:r w:rsidR="00B63A53">
        <w:t> </w:t>
      </w:r>
      <w:r>
        <w:t>de IoT se todas as tentativas contínuas para enviar ou receber Mensagens ou executar Operações de Identidade do Dispositivo no Hub de</w:t>
      </w:r>
      <w:r w:rsidR="00B63A53">
        <w:t> </w:t>
      </w:r>
      <w:r>
        <w:t>IoT</w:t>
      </w:r>
      <w:r w:rsidR="00B63A53">
        <w:t> </w:t>
      </w:r>
      <w:r>
        <w:t>durante esse minuto devolverem um Código de Erro ou não resultarem num Código de Êxito no prazo de cinco minutos.</w:t>
      </w:r>
    </w:p>
    <w:p w14:paraId="4747CF85" w14:textId="3DB7A133" w:rsidR="00A33D0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8F106D9" w14:textId="77777777" w:rsidR="00A33D05" w:rsidRPr="00EF7CF9" w:rsidRDefault="00A33D05" w:rsidP="00F01ED6">
      <w:pPr>
        <w:pStyle w:val="ProductList-Body"/>
      </w:pPr>
    </w:p>
    <w:p w14:paraId="41A06B07" w14:textId="3BF0F358" w:rsidR="00A33D0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236CE39" w14:textId="77777777" w:rsidR="00A33D05" w:rsidRPr="00EF7CF9" w:rsidRDefault="00A33D05" w:rsidP="00F01ED6">
      <w:pPr>
        <w:pStyle w:val="ProductList-Body"/>
      </w:pPr>
      <w:r>
        <w:rPr>
          <w:b/>
          <w:color w:val="00188F"/>
        </w:rPr>
        <w:t>Os seguintes Níveis de Serviço e Créditos de Serviço são aplicáveis à utilização que o Cliente faz do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21AFEB"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F01ED6">
            <w:pPr>
              <w:pStyle w:val="ProductList-OfferingBody"/>
              <w:jc w:val="center"/>
            </w:pPr>
            <w:r>
              <w:t>&lt; 99,9%</w:t>
            </w:r>
          </w:p>
        </w:tc>
        <w:tc>
          <w:tcPr>
            <w:tcW w:w="5400" w:type="dxa"/>
          </w:tcPr>
          <w:p w14:paraId="4CC37FB1" w14:textId="77777777" w:rsidR="00A33D05" w:rsidRPr="00EF7CF9" w:rsidRDefault="00A33D05" w:rsidP="00F01ED6">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F01ED6">
            <w:pPr>
              <w:pStyle w:val="ProductList-OfferingBody"/>
              <w:jc w:val="center"/>
            </w:pPr>
            <w:r>
              <w:t>&lt; 99%</w:t>
            </w:r>
          </w:p>
        </w:tc>
        <w:tc>
          <w:tcPr>
            <w:tcW w:w="5400" w:type="dxa"/>
          </w:tcPr>
          <w:p w14:paraId="00EB8335" w14:textId="77777777" w:rsidR="00A33D05" w:rsidRPr="00EF7CF9" w:rsidRDefault="00A33D05" w:rsidP="00F01ED6">
            <w:pPr>
              <w:pStyle w:val="ProductList-OfferingBody"/>
              <w:jc w:val="center"/>
            </w:pPr>
            <w:r>
              <w:t>25%</w:t>
            </w:r>
          </w:p>
        </w:tc>
      </w:tr>
    </w:tbl>
    <w:p w14:paraId="0C6B83DA" w14:textId="20A769B4" w:rsidR="00A33D05" w:rsidRDefault="00EE6E3C" w:rsidP="00F01ED6">
      <w:pPr>
        <w:pStyle w:val="ProductList-Body"/>
        <w:rPr>
          <w:b/>
          <w:bCs/>
          <w:color w:val="00188F"/>
        </w:rPr>
      </w:pPr>
      <w:r>
        <w:rPr>
          <w:b/>
          <w:bCs/>
          <w:color w:val="00188F"/>
        </w:rPr>
        <w:t>Cálculo do Período de Disponibilidade e Níveis de Serviço para Serviço de Aprovisionamento do Dispositivo de Hub de IoT.</w:t>
      </w:r>
    </w:p>
    <w:p w14:paraId="13AE0CE7" w14:textId="77777777" w:rsidR="00A33D05" w:rsidRPr="00ED4527" w:rsidRDefault="00A33D05" w:rsidP="00F01ED6">
      <w:pPr>
        <w:pStyle w:val="ProductList-Body"/>
        <w:rPr>
          <w:b/>
          <w:bCs/>
          <w:color w:val="00188F"/>
        </w:rPr>
      </w:pPr>
      <w:r>
        <w:rPr>
          <w:b/>
          <w:bCs/>
          <w:color w:val="00188F"/>
        </w:rPr>
        <w:t>Definições Adicionais:</w:t>
      </w:r>
    </w:p>
    <w:p w14:paraId="1731B111" w14:textId="134FDD60" w:rsidR="00A33D05" w:rsidRPr="00D64BCA" w:rsidRDefault="00380305" w:rsidP="00F01ED6">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designa o número total de minutos para um determinado Serviço de Aprovisionamento do Dispositivo implementado pelo Cliente numa subscrição do Microsoft Azure durante um Período Aplicável.</w:t>
      </w:r>
    </w:p>
    <w:p w14:paraId="6862A706" w14:textId="490858D7" w:rsidR="00A33D05" w:rsidRPr="005505A7" w:rsidRDefault="00380305" w:rsidP="00F01ED6">
      <w:pPr>
        <w:pStyle w:val="ProductList-Body"/>
        <w:rPr>
          <w:color w:val="000000" w:themeColor="text1"/>
          <w:spacing w:val="-2"/>
        </w:rPr>
      </w:pPr>
      <w:r>
        <w:rPr>
          <w:color w:val="000000" w:themeColor="text1"/>
          <w:spacing w:val="-2"/>
        </w:rPr>
        <w:t>“</w:t>
      </w:r>
      <w:r w:rsidR="00A33D05" w:rsidRPr="005505A7">
        <w:rPr>
          <w:b/>
          <w:bCs/>
          <w:color w:val="00188F"/>
          <w:spacing w:val="-2"/>
        </w:rPr>
        <w:t>Período de Indisponibilidade</w:t>
      </w:r>
      <w:r>
        <w:rPr>
          <w:color w:val="000000" w:themeColor="text1"/>
          <w:spacing w:val="-2"/>
        </w:rPr>
        <w:t>”</w:t>
      </w:r>
      <w:r w:rsidR="00A33D05" w:rsidRPr="005505A7">
        <w:rPr>
          <w:color w:val="000000" w:themeColor="text1"/>
          <w:spacing w:val="-2"/>
        </w:rPr>
        <w:t xml:space="preserve"> é o número total de minutos durante o Máximo de Minutos Disponíveis durante os quais o Serviço de Aprovisionamento do Dispositivo de Hub de IoT está indisponível. Um minuto é considerado indisponível para um determinado Serviço de Aprovisionamento de Dispositivos, se todas as tentativas contínuas para registar um dispositivo ou executar operações de registo/inscrição no Serviço de Aprovisionamento de Dispositivos nesse minuto devolverem um Código de Erro ou não resultarem num Código de Êxito num prazo de dois minutos.</w:t>
      </w:r>
    </w:p>
    <w:p w14:paraId="2BAE86D2" w14:textId="69288491" w:rsidR="00A33D05" w:rsidRPr="00D64BCA" w:rsidRDefault="00AC48A7" w:rsidP="00F01ED6">
      <w:pPr>
        <w:pStyle w:val="ProductList-Body"/>
        <w:rPr>
          <w:color w:val="000000" w:themeColor="text1"/>
        </w:rPr>
      </w:pPr>
      <w:r>
        <w:rPr>
          <w:b/>
          <w:bCs/>
          <w:color w:val="00188F"/>
        </w:rPr>
        <w:t>Percentagem de Período de Disponibilidade:</w:t>
      </w:r>
      <w:r>
        <w:rPr>
          <w:color w:val="000000" w:themeColor="text1"/>
        </w:rPr>
        <w:t xml:space="preserve"> A Percentagem de Período de Disponibilidade é calculada através da seguinte fórmula:</w:t>
      </w:r>
    </w:p>
    <w:p w14:paraId="6176E082" w14:textId="77777777" w:rsidR="00A33D05" w:rsidRPr="00EF7CF9" w:rsidRDefault="00A33D05" w:rsidP="00F01ED6">
      <w:pPr>
        <w:pStyle w:val="ProductList-Body"/>
      </w:pPr>
    </w:p>
    <w:p w14:paraId="288FBA3D" w14:textId="1CFA905F" w:rsidR="00A33D0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CE875ED" w14:textId="77777777" w:rsidR="00A33D05" w:rsidRPr="00ED4527" w:rsidRDefault="00A33D05" w:rsidP="00F01ED6">
      <w:pPr>
        <w:pStyle w:val="ProductList-Body"/>
        <w:tabs>
          <w:tab w:val="clear" w:pos="360"/>
          <w:tab w:val="clear" w:pos="720"/>
          <w:tab w:val="clear" w:pos="1080"/>
        </w:tabs>
        <w:rPr>
          <w:b/>
          <w:bCs/>
          <w:color w:val="00188F"/>
        </w:rPr>
      </w:pPr>
      <w:r>
        <w:rPr>
          <w:b/>
          <w:bCs/>
          <w:color w:val="00188F"/>
        </w:rPr>
        <w:t>Os seguintes Níveis de Serviço e Créditos de Serviço são aplicáveis à utilização que o Cliente faz do Serviço de Aprovisionamento do Dispositivo de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05AAEC"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F01ED6">
            <w:pPr>
              <w:pStyle w:val="ProductList-OfferingBody"/>
              <w:jc w:val="center"/>
            </w:pPr>
            <w:r>
              <w:t>&lt; 99,9%</w:t>
            </w:r>
          </w:p>
        </w:tc>
        <w:tc>
          <w:tcPr>
            <w:tcW w:w="5400" w:type="dxa"/>
          </w:tcPr>
          <w:p w14:paraId="1DACBB75" w14:textId="77777777" w:rsidR="00A33D05" w:rsidRPr="00EF7CF9" w:rsidRDefault="00A33D05" w:rsidP="00F01ED6">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F01ED6">
            <w:pPr>
              <w:pStyle w:val="ProductList-OfferingBody"/>
              <w:jc w:val="center"/>
            </w:pPr>
            <w:r>
              <w:t>&lt; 99%</w:t>
            </w:r>
          </w:p>
        </w:tc>
        <w:tc>
          <w:tcPr>
            <w:tcW w:w="5400" w:type="dxa"/>
          </w:tcPr>
          <w:p w14:paraId="1FEB35B0" w14:textId="77777777" w:rsidR="00A33D05" w:rsidRPr="00EF7CF9" w:rsidRDefault="00A33D05" w:rsidP="00F01ED6">
            <w:pPr>
              <w:pStyle w:val="ProductList-OfferingBody"/>
              <w:jc w:val="center"/>
            </w:pPr>
            <w:r>
              <w:t>25%</w:t>
            </w:r>
          </w:p>
        </w:tc>
      </w:tr>
    </w:tbl>
    <w:bookmarkStart w:id="283" w:name="_Toc457821554"/>
    <w:bookmarkStart w:id="284" w:name="_Toc52348961"/>
    <w:p w14:paraId="5AFEAE3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156FCE" w14:textId="77777777" w:rsidR="00C46F26" w:rsidRPr="00EF7CF9" w:rsidRDefault="00C46F26" w:rsidP="00F01ED6">
      <w:pPr>
        <w:pStyle w:val="ProductList-Offering2Heading"/>
        <w:keepNext/>
        <w:tabs>
          <w:tab w:val="clear" w:pos="360"/>
          <w:tab w:val="clear" w:pos="720"/>
          <w:tab w:val="clear" w:pos="1080"/>
        </w:tabs>
        <w:outlineLvl w:val="2"/>
      </w:pPr>
      <w:bookmarkStart w:id="285" w:name="_Toc182409678"/>
      <w:r>
        <w:t>Cofre de Chaves</w:t>
      </w:r>
      <w:bookmarkEnd w:id="283"/>
      <w:bookmarkEnd w:id="284"/>
      <w:bookmarkEnd w:id="285"/>
    </w:p>
    <w:p w14:paraId="636EF3C5" w14:textId="77777777" w:rsidR="00C46F26" w:rsidRPr="00EF7CF9" w:rsidRDefault="00C46F26" w:rsidP="00F01ED6">
      <w:pPr>
        <w:pStyle w:val="ProductList-Body"/>
        <w:keepNext/>
        <w:rPr>
          <w:b/>
          <w:color w:val="00188F"/>
        </w:rPr>
      </w:pPr>
      <w:r>
        <w:rPr>
          <w:b/>
          <w:color w:val="00188F"/>
        </w:rPr>
        <w:t>Definições Adicionais</w:t>
      </w:r>
      <w:r w:rsidRPr="00473DD3">
        <w:rPr>
          <w:b/>
          <w:color w:val="00188F"/>
        </w:rPr>
        <w:t>:</w:t>
      </w:r>
    </w:p>
    <w:p w14:paraId="57980324" w14:textId="77777777" w:rsidR="00C51D74" w:rsidRPr="00C51D74" w:rsidRDefault="00380305" w:rsidP="00C51D74">
      <w:pPr>
        <w:pStyle w:val="ProductList-Body"/>
        <w:spacing w:after="40"/>
        <w:rPr>
          <w:rFonts w:cstheme="minorHAnsi"/>
        </w:rPr>
      </w:pPr>
      <w:r>
        <w:t>“</w:t>
      </w:r>
      <w:r w:rsidR="00C46F26">
        <w:rPr>
          <w:b/>
          <w:color w:val="00188F"/>
        </w:rPr>
        <w:t>Minutos de Implementação</w:t>
      </w:r>
      <w:r>
        <w:t>”</w:t>
      </w:r>
      <w:r w:rsidR="00C46F26">
        <w:t xml:space="preserve"> </w:t>
      </w:r>
      <w:r w:rsidR="00C51D74" w:rsidRPr="00C51D74">
        <w:rPr>
          <w:rFonts w:cstheme="minorHAnsi"/>
        </w:rPr>
        <w:t>designa o número total de minutos durante os quais um determinado cofre de chaves esteve implementado no Microsoft Azure num mês de faturação.</w:t>
      </w:r>
    </w:p>
    <w:p w14:paraId="7DBD6B58" w14:textId="77777777" w:rsidR="00C51D74" w:rsidRPr="00C51D74" w:rsidRDefault="00C51D74" w:rsidP="00C51D74">
      <w:pPr>
        <w:pStyle w:val="ProductList-Body"/>
        <w:spacing w:after="40"/>
        <w:rPr>
          <w:rFonts w:cstheme="minorHAnsi"/>
        </w:rPr>
      </w:pPr>
      <w:r w:rsidRPr="00C51D74">
        <w:rPr>
          <w:rFonts w:cstheme="minorHAnsi"/>
        </w:rPr>
        <w:t>“</w:t>
      </w:r>
      <w:r w:rsidRPr="00C51D74">
        <w:rPr>
          <w:rFonts w:cstheme="minorHAnsi"/>
          <w:b/>
          <w:color w:val="00188F"/>
        </w:rPr>
        <w:t>Transações Excluídas</w:t>
      </w:r>
      <w:r w:rsidRPr="00C51D74">
        <w:rPr>
          <w:rFonts w:cstheme="minorHAnsi"/>
        </w:rPr>
        <w:t>” designa as transações para a criação, atualização ou eliminação de cofres de chaves, chaves ou segredos.</w:t>
      </w:r>
    </w:p>
    <w:p w14:paraId="66CC050E" w14:textId="77777777" w:rsidR="00C51D74" w:rsidRPr="00C51D74" w:rsidRDefault="00C51D74" w:rsidP="00C51D74">
      <w:pPr>
        <w:pStyle w:val="ProductList-Body"/>
        <w:rPr>
          <w:rFonts w:cstheme="minorHAnsi"/>
        </w:rPr>
      </w:pPr>
      <w:r w:rsidRPr="00C51D74">
        <w:rPr>
          <w:rFonts w:cstheme="minorHAnsi"/>
        </w:rPr>
        <w:t>“</w:t>
      </w:r>
      <w:r w:rsidRPr="00C51D74">
        <w:rPr>
          <w:rFonts w:cstheme="minorHAnsi"/>
          <w:b/>
          <w:color w:val="00188F"/>
        </w:rPr>
        <w:t>Máximo de Minutos Disponíveis</w:t>
      </w:r>
      <w:r w:rsidRPr="00C51D74">
        <w:rPr>
          <w:rFonts w:cstheme="minorHAnsi"/>
        </w:rPr>
        <w:t>” designa a soma de todos os Minutos de Implementação em todos os Cofres de Chaves implementados pelo Cliente numa determinada subscrição do Microsoft Azure num mês de faturação.</w:t>
      </w:r>
    </w:p>
    <w:p w14:paraId="3D63133A" w14:textId="3BEACE1E" w:rsidR="00C46F26" w:rsidRPr="00EF7CF9" w:rsidRDefault="00C46F26" w:rsidP="00C51D74">
      <w:pPr>
        <w:pStyle w:val="ProductList-Body"/>
        <w:spacing w:after="40"/>
      </w:pPr>
      <w:r>
        <w:rPr>
          <w:b/>
          <w:color w:val="00188F"/>
        </w:rPr>
        <w:t>Período de Indisponibilidade</w:t>
      </w:r>
      <w:r w:rsidRPr="00473DD3">
        <w:rPr>
          <w:b/>
          <w:color w:val="00188F"/>
        </w:rPr>
        <w:t>:</w:t>
      </w:r>
      <w:r>
        <w:t xml:space="preserve"> designa 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1CE57103" w14:textId="7E1C1BAE" w:rsidR="00C46F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92D4ADF" w14:textId="77777777" w:rsidR="00C46F26" w:rsidRPr="006B31E1" w:rsidRDefault="00C46F26" w:rsidP="00F01ED6">
      <w:pPr>
        <w:pStyle w:val="ProductList-Body"/>
        <w:rPr>
          <w:sz w:val="12"/>
          <w:szCs w:val="12"/>
        </w:rPr>
      </w:pPr>
    </w:p>
    <w:p w14:paraId="499E0B21" w14:textId="69653BED" w:rsidR="00C46F26" w:rsidRPr="00EF7CF9" w:rsidRDefault="00000000" w:rsidP="001345F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1DBAB8" w14:textId="77777777" w:rsidR="00C46F26" w:rsidRPr="00EF7CF9" w:rsidRDefault="00C46F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0062D5" w14:textId="77777777" w:rsidR="00C46F26" w:rsidRPr="00EF7CF9" w:rsidRDefault="00C46F26" w:rsidP="00F01ED6">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6A1A1D26" w:rsidR="00C46F26" w:rsidRPr="00EF7CF9" w:rsidRDefault="00C46F26" w:rsidP="00F01ED6">
            <w:pPr>
              <w:pStyle w:val="ProductList-OfferingBody"/>
              <w:jc w:val="center"/>
            </w:pPr>
            <w:r>
              <w:t>&lt; 99,</w:t>
            </w:r>
            <w:r w:rsidR="00616A42">
              <w:t>9</w:t>
            </w:r>
            <w:r>
              <w:t>9%</w:t>
            </w:r>
          </w:p>
        </w:tc>
        <w:tc>
          <w:tcPr>
            <w:tcW w:w="5400" w:type="dxa"/>
          </w:tcPr>
          <w:p w14:paraId="5F1A3A62" w14:textId="77777777" w:rsidR="00C46F26" w:rsidRPr="00EF7CF9" w:rsidRDefault="00C46F26" w:rsidP="00F01ED6">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F01ED6">
            <w:pPr>
              <w:pStyle w:val="ProductList-OfferingBody"/>
              <w:jc w:val="center"/>
            </w:pPr>
            <w:r>
              <w:t>&lt; 99%</w:t>
            </w:r>
          </w:p>
        </w:tc>
        <w:tc>
          <w:tcPr>
            <w:tcW w:w="5400" w:type="dxa"/>
          </w:tcPr>
          <w:p w14:paraId="0C993539" w14:textId="77777777" w:rsidR="00C46F26" w:rsidRPr="00EF7CF9" w:rsidRDefault="00C46F26" w:rsidP="00F01ED6">
            <w:pPr>
              <w:pStyle w:val="ProductList-OfferingBody"/>
              <w:jc w:val="center"/>
            </w:pPr>
            <w:r>
              <w:t>25%</w:t>
            </w:r>
          </w:p>
        </w:tc>
      </w:tr>
    </w:tbl>
    <w:p w14:paraId="7B432F5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EA7782" w14:textId="77777777" w:rsidR="00660E55" w:rsidRPr="00C55C00" w:rsidRDefault="00660E55" w:rsidP="00F01ED6">
      <w:pPr>
        <w:pStyle w:val="ProductList-Offering2Heading"/>
        <w:keepNext/>
        <w:tabs>
          <w:tab w:val="clear" w:pos="360"/>
          <w:tab w:val="clear" w:pos="720"/>
          <w:tab w:val="clear" w:pos="1080"/>
        </w:tabs>
        <w:outlineLvl w:val="2"/>
        <w:rPr>
          <w:lang w:val="en-IN"/>
        </w:rPr>
      </w:pPr>
      <w:bookmarkStart w:id="286" w:name="_Toc182409679"/>
      <w:r w:rsidRPr="00C55C00">
        <w:rPr>
          <w:lang w:val="en-IN"/>
        </w:rPr>
        <w:t>Azure Key Vault Managed HSM</w:t>
      </w:r>
      <w:bookmarkEnd w:id="286"/>
    </w:p>
    <w:p w14:paraId="58F7AD23" w14:textId="2D7CF5B4" w:rsidR="00660E55" w:rsidRPr="00660E55" w:rsidRDefault="00EE6E3C" w:rsidP="00F01ED6">
      <w:pPr>
        <w:pStyle w:val="ProductList-Body"/>
        <w:rPr>
          <w:b/>
          <w:bCs/>
          <w:color w:val="00188F"/>
        </w:rPr>
      </w:pPr>
      <w:r>
        <w:rPr>
          <w:b/>
          <w:bCs/>
          <w:color w:val="00188F"/>
        </w:rPr>
        <w:t>Cálculo do Período de Disponibilidade e Níveis de Serviço do HSM Gerido</w:t>
      </w:r>
    </w:p>
    <w:p w14:paraId="30B9FBAC" w14:textId="0769180A" w:rsidR="00660E55" w:rsidRDefault="00380305" w:rsidP="00F01ED6">
      <w:pPr>
        <w:pStyle w:val="ProductList-Body"/>
      </w:pPr>
      <w:r>
        <w:t>“</w:t>
      </w:r>
      <w:r w:rsidR="00660E55">
        <w:rPr>
          <w:b/>
          <w:bCs/>
          <w:color w:val="00188F"/>
        </w:rPr>
        <w:t>Minutos de Implementação</w:t>
      </w:r>
      <w:r>
        <w:t>”</w:t>
      </w:r>
      <w:r w:rsidR="00660E55">
        <w:t xml:space="preserve"> designa o número total de minutos durante os quais um determinado HSM gerido foi implementada no Microsoft Azure durante um Período Aplicável.</w:t>
      </w:r>
    </w:p>
    <w:p w14:paraId="053CE29C" w14:textId="55ED6CAD" w:rsidR="00660E55" w:rsidRDefault="00380305" w:rsidP="00F01ED6">
      <w:pPr>
        <w:pStyle w:val="ProductList-Body"/>
      </w:pPr>
      <w:r>
        <w:t>“</w:t>
      </w:r>
      <w:r w:rsidR="00660E55">
        <w:rPr>
          <w:b/>
          <w:bCs/>
          <w:color w:val="00188F"/>
        </w:rPr>
        <w:t>Máximo de Minutos Disponíveis</w:t>
      </w:r>
      <w:r>
        <w:t>”</w:t>
      </w:r>
      <w:r w:rsidR="00660E55">
        <w:t xml:space="preserve"> designa a soma de todos os Minutos de Implementação em todos os HSM geridos implementados pelo Cliente numa determinada subscrição do Microsoft Azure durante um Período Aplicável.</w:t>
      </w:r>
    </w:p>
    <w:p w14:paraId="7FE43870" w14:textId="3051A317" w:rsidR="00660E55" w:rsidRDefault="00380305" w:rsidP="00F01ED6">
      <w:pPr>
        <w:pStyle w:val="ProductList-Body"/>
      </w:pPr>
      <w:r>
        <w:t>“</w:t>
      </w:r>
      <w:r w:rsidR="00660E55">
        <w:rPr>
          <w:b/>
          <w:bCs/>
          <w:color w:val="00188F"/>
        </w:rPr>
        <w:t>Transações Excluídas</w:t>
      </w:r>
      <w:r>
        <w:t>”</w:t>
      </w:r>
      <w:r w:rsidR="00660E55">
        <w:t xml:space="preserve"> são transações para criar, atualizar ou eliminar HSMs geridos, chaves, atribuições de funções, definições de funções e</w:t>
      </w:r>
      <w:r w:rsidR="00D66DA1">
        <w:t> </w:t>
      </w:r>
      <w:r w:rsidR="00660E55">
        <w:t>transferência/carregamento do domínio de segurança.</w:t>
      </w:r>
    </w:p>
    <w:p w14:paraId="10F6540B" w14:textId="2467A418" w:rsidR="00660E55" w:rsidRPr="001C1F84" w:rsidRDefault="00380305" w:rsidP="00F01ED6">
      <w:pPr>
        <w:pStyle w:val="ProductList-Body"/>
        <w:rPr>
          <w:spacing w:val="-2"/>
        </w:rPr>
      </w:pPr>
      <w:r>
        <w:rPr>
          <w:spacing w:val="-2"/>
        </w:rPr>
        <w:t>“</w:t>
      </w:r>
      <w:r w:rsidR="00660E55" w:rsidRPr="001C1F84">
        <w:rPr>
          <w:b/>
          <w:bCs/>
          <w:color w:val="00188F"/>
          <w:spacing w:val="-2"/>
        </w:rPr>
        <w:t>Período de Indisponibilidade</w:t>
      </w:r>
      <w:r>
        <w:rPr>
          <w:spacing w:val="-2"/>
        </w:rPr>
        <w:t>”</w:t>
      </w:r>
      <w:r w:rsidR="00660E55" w:rsidRPr="001C1F84">
        <w:rPr>
          <w:spacing w:val="-2"/>
        </w:rPr>
        <w:t xml:space="preserve"> designa o total de Minutos de Implementação acumulados, em todos os HSMs geridos implementados pelo Cliente numa determinada subscrição do Microsoft Azure, durante a qual o HSM gerido está indisponível. Um minuto é considerado indisponível para um determinado HSM gerido se todas as tentativas contínuas para executar transações, que não Transações Excluídas, no HSM gerido durante esse minuto devolverem um Código de Erro ou não resultarem num Código de Êxito num prazo de 5 segundos após a receção do pedido por parte da Microsoft.</w:t>
      </w:r>
    </w:p>
    <w:p w14:paraId="28CE48E2" w14:textId="45779E04" w:rsidR="00660E55" w:rsidRDefault="00660E55" w:rsidP="00F01ED6">
      <w:pPr>
        <w:pStyle w:val="ProductList-Body"/>
      </w:pPr>
      <w:r>
        <w:t xml:space="preserve">A </w:t>
      </w:r>
      <w:r w:rsidR="00380305">
        <w:t>“</w:t>
      </w:r>
      <w:r>
        <w:rPr>
          <w:b/>
          <w:bCs/>
          <w:color w:val="00188F"/>
        </w:rPr>
        <w:t>Percentagem de Período de Disponibilidade</w:t>
      </w:r>
      <w:r w:rsidR="00380305">
        <w:t>”</w:t>
      </w:r>
      <w:r>
        <w:t xml:space="preserve"> para o Serviço HSM Gerido é calculada como o Máximo de Minutos Disponíveis menos o Período de Indisponibilidade a dividir pelo Máximo de Minutos Disponíveis num Período Aplicável para uma determinada subscrição do Microsoft Azure. </w:t>
      </w:r>
    </w:p>
    <w:p w14:paraId="6A6FF732" w14:textId="4E4D019B" w:rsidR="00660E55" w:rsidRDefault="00AC48A7" w:rsidP="00F01ED6">
      <w:pPr>
        <w:pStyle w:val="ProductList-Body"/>
      </w:pPr>
      <w:r>
        <w:t>A Percentagem de Período de Disponibilidade é representada pela seguinte fórmula:</w:t>
      </w:r>
    </w:p>
    <w:p w14:paraId="28B11648" w14:textId="77777777" w:rsidR="00660E55" w:rsidRPr="006B31E1" w:rsidRDefault="00660E55" w:rsidP="00F01ED6">
      <w:pPr>
        <w:pStyle w:val="ProductList-Body"/>
        <w:rPr>
          <w:sz w:val="12"/>
          <w:szCs w:val="12"/>
        </w:rPr>
      </w:pPr>
    </w:p>
    <w:p w14:paraId="2CB08560" w14:textId="30ED0650" w:rsidR="00660E5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DACD42B" w14:textId="77777777" w:rsidR="00660E55" w:rsidRPr="00660E55" w:rsidRDefault="00660E55" w:rsidP="00F01ED6">
      <w:pPr>
        <w:pStyle w:val="ProductList-Body"/>
        <w:rPr>
          <w:b/>
          <w:bCs/>
          <w:color w:val="00188F"/>
        </w:rPr>
      </w:pPr>
      <w:r>
        <w:rPr>
          <w:b/>
          <w:bCs/>
          <w:color w:val="00188F"/>
        </w:rPr>
        <w:t>Os seguintes Níveis de Serviço e Créditos de Serviço são aplicáveis à utilização que o Cliente faz do Serviço de HSM Gerido: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1976303" w14:textId="77777777" w:rsidR="00660E55" w:rsidRPr="00EF7CF9" w:rsidRDefault="00660E55" w:rsidP="00F01ED6">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F01ED6">
            <w:pPr>
              <w:pStyle w:val="ProductList-OfferingBody"/>
              <w:jc w:val="center"/>
            </w:pPr>
            <w:r>
              <w:t>&lt; 99,9%</w:t>
            </w:r>
          </w:p>
        </w:tc>
        <w:tc>
          <w:tcPr>
            <w:tcW w:w="5400" w:type="dxa"/>
          </w:tcPr>
          <w:p w14:paraId="3F9342B3" w14:textId="77777777" w:rsidR="00660E55" w:rsidRPr="00EF7CF9" w:rsidRDefault="00660E55" w:rsidP="00F01ED6">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F01ED6">
            <w:pPr>
              <w:pStyle w:val="ProductList-OfferingBody"/>
              <w:jc w:val="center"/>
            </w:pPr>
            <w:r>
              <w:t>&lt; 99%</w:t>
            </w:r>
          </w:p>
        </w:tc>
        <w:tc>
          <w:tcPr>
            <w:tcW w:w="5400" w:type="dxa"/>
          </w:tcPr>
          <w:p w14:paraId="1CFA6DDE" w14:textId="77777777" w:rsidR="00660E55" w:rsidRPr="00EF7CF9" w:rsidRDefault="00660E55" w:rsidP="00F01ED6">
            <w:pPr>
              <w:pStyle w:val="ProductList-OfferingBody"/>
              <w:jc w:val="center"/>
            </w:pPr>
            <w:r>
              <w:t>25%</w:t>
            </w:r>
          </w:p>
        </w:tc>
      </w:tr>
    </w:tbl>
    <w:p w14:paraId="14FE795B"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7AFF7E" w14:textId="7F089788" w:rsidR="00F82DA2" w:rsidRPr="00F82DA2" w:rsidRDefault="00F82DA2" w:rsidP="00F01ED6">
      <w:pPr>
        <w:pStyle w:val="ProductList-Offering2Heading"/>
        <w:keepNext/>
        <w:tabs>
          <w:tab w:val="clear" w:pos="360"/>
          <w:tab w:val="clear" w:pos="720"/>
          <w:tab w:val="clear" w:pos="1080"/>
        </w:tabs>
        <w:outlineLvl w:val="2"/>
      </w:pPr>
      <w:bookmarkStart w:id="287" w:name="_Toc182409680"/>
      <w:r>
        <w:t>Azure Kubernetes Service (AKS)</w:t>
      </w:r>
      <w:bookmarkEnd w:id="287"/>
    </w:p>
    <w:p w14:paraId="61A85984" w14:textId="77777777" w:rsidR="00F82DA2" w:rsidRPr="005A1265" w:rsidRDefault="00F82DA2" w:rsidP="00F01ED6">
      <w:pPr>
        <w:pStyle w:val="ProductList-Body"/>
        <w:rPr>
          <w:b/>
          <w:bCs/>
          <w:color w:val="00188F"/>
        </w:rPr>
      </w:pPr>
      <w:r>
        <w:rPr>
          <w:b/>
          <w:bCs/>
          <w:color w:val="00188F"/>
        </w:rPr>
        <w:t>Definições Adicionais</w:t>
      </w:r>
    </w:p>
    <w:p w14:paraId="127F0781" w14:textId="34F72A13" w:rsidR="00F82DA2" w:rsidRDefault="00F82DA2" w:rsidP="00F01ED6">
      <w:pPr>
        <w:pStyle w:val="ProductList-Body"/>
      </w:pPr>
      <w:r w:rsidRPr="00CB7596">
        <w:t xml:space="preserve">Cluster do </w:t>
      </w:r>
      <w:r w:rsidR="00380305" w:rsidRPr="00CB7596">
        <w:t>“</w:t>
      </w:r>
      <w:r>
        <w:rPr>
          <w:b/>
          <w:bCs/>
          <w:color w:val="00188F"/>
        </w:rPr>
        <w:t>Azure Kubernetes Service (AKS)</w:t>
      </w:r>
      <w:r w:rsidR="00380305" w:rsidRPr="00380305">
        <w:t>”</w:t>
      </w:r>
      <w:r>
        <w:t xml:space="preserve"> Um cluster do Kubernetes está dividido em dois componentes:</w:t>
      </w:r>
    </w:p>
    <w:p w14:paraId="3F836EE1" w14:textId="77777777" w:rsidR="00F82DA2" w:rsidRDefault="00F82DA2" w:rsidP="00F01ED6">
      <w:pPr>
        <w:pStyle w:val="ProductList-Body"/>
        <w:numPr>
          <w:ilvl w:val="0"/>
          <w:numId w:val="20"/>
        </w:numPr>
      </w:pPr>
      <w:r>
        <w:t>Os nós do plano de controlo fornecem os serviços do Kubernetes principais e a orquestração das cargas de trabalho de aplicação.</w:t>
      </w:r>
    </w:p>
    <w:p w14:paraId="304182C8" w14:textId="01A08E20" w:rsidR="00F82DA2" w:rsidRDefault="00F82DA2" w:rsidP="00F01ED6">
      <w:pPr>
        <w:pStyle w:val="ProductList-Body"/>
        <w:numPr>
          <w:ilvl w:val="0"/>
          <w:numId w:val="20"/>
        </w:numPr>
      </w:pPr>
      <w:r>
        <w:t>Os nós executam as cargas de trabalho de aplicação.</w:t>
      </w:r>
    </w:p>
    <w:p w14:paraId="5C4312B7" w14:textId="19B1F6E2" w:rsidR="00F82DA2" w:rsidRDefault="00380305" w:rsidP="00F01ED6">
      <w:pPr>
        <w:pStyle w:val="ProductList-Body"/>
      </w:pPr>
      <w:r>
        <w:t>“</w:t>
      </w:r>
      <w:r w:rsidR="00F82DA2">
        <w:rPr>
          <w:b/>
          <w:bCs/>
          <w:color w:val="00188F"/>
        </w:rPr>
        <w:t>Servidor da API do Kubernetes</w:t>
      </w:r>
      <w:r>
        <w:t>”</w:t>
      </w:r>
      <w:r w:rsidR="00F82DA2">
        <w:t xml:space="preserve"> Quando é criado um Cluster do Azure Kubernetes Service (AKS), é criado e configurado automaticamente um</w:t>
      </w:r>
      <w:r w:rsidR="001963CD">
        <w:t> </w:t>
      </w:r>
      <w:r w:rsidR="00F82DA2">
        <w:t>plano de controlo. O plano de controlo inclui o Servidor da API que expõe a API do Kubernetes subjacente.</w:t>
      </w:r>
    </w:p>
    <w:p w14:paraId="55487483" w14:textId="0EC18CB9" w:rsidR="00F82DA2" w:rsidRPr="001C1F84" w:rsidRDefault="00380305" w:rsidP="00F01ED6">
      <w:pPr>
        <w:pStyle w:val="ProductList-Body"/>
        <w:rPr>
          <w:spacing w:val="-3"/>
        </w:rPr>
      </w:pPr>
      <w:r>
        <w:rPr>
          <w:spacing w:val="-3"/>
        </w:rPr>
        <w:t>“</w:t>
      </w:r>
      <w:r w:rsidR="00F82DA2" w:rsidRPr="001C1F84">
        <w:rPr>
          <w:b/>
          <w:bCs/>
          <w:color w:val="00188F"/>
          <w:spacing w:val="-3"/>
        </w:rPr>
        <w:t>Zona de Disponibilidade</w:t>
      </w:r>
      <w:r>
        <w:rPr>
          <w:spacing w:val="-3"/>
        </w:rPr>
        <w:t>”</w:t>
      </w:r>
      <w:r w:rsidR="00F82DA2" w:rsidRPr="001C1F84">
        <w:rPr>
          <w:spacing w:val="-3"/>
        </w:rPr>
        <w:t xml:space="preserve"> designa uma área isolada de falhas numa região do Azure que providencia alimentação, refrigeração e rede redundantes.</w:t>
      </w:r>
    </w:p>
    <w:p w14:paraId="15813F01" w14:textId="77777777" w:rsidR="001C1F84" w:rsidRPr="006B31E1" w:rsidRDefault="001C1F84" w:rsidP="00F01ED6">
      <w:pPr>
        <w:pStyle w:val="ProductList-Body"/>
        <w:rPr>
          <w:sz w:val="12"/>
          <w:szCs w:val="12"/>
        </w:rPr>
      </w:pPr>
    </w:p>
    <w:p w14:paraId="4A9E6F02" w14:textId="2345EADD" w:rsidR="00F82DA2" w:rsidRPr="007E7727" w:rsidRDefault="00EE6E3C" w:rsidP="00F01ED6">
      <w:pPr>
        <w:pStyle w:val="ProductList-Body"/>
        <w:rPr>
          <w:b/>
          <w:bCs/>
          <w:color w:val="00188F"/>
        </w:rPr>
      </w:pPr>
      <w:r>
        <w:rPr>
          <w:b/>
          <w:bCs/>
          <w:color w:val="00188F"/>
        </w:rPr>
        <w:t>Cálculo do Período de Disponibilidade e Níveis de Serviço para os Clusters do AKS que utilizam as Zonas de Disponibilidade</w:t>
      </w:r>
    </w:p>
    <w:p w14:paraId="3B157BD0" w14:textId="0C298105"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ativado para a Zona de Disponibilidade até ao</w:t>
      </w:r>
      <w:r w:rsidR="00D87C26">
        <w:t> </w:t>
      </w:r>
      <w:r w:rsidR="00F82DA2">
        <w:t>momento em que o Cliente iniciou uma ação para parar ou eliminar o Cluster do AKS durante um Período Aplicável.</w:t>
      </w:r>
    </w:p>
    <w:p w14:paraId="08E07572" w14:textId="60896044"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sem conectividade ao</w:t>
      </w:r>
      <w:r w:rsidR="00D87C26">
        <w:t> </w:t>
      </w:r>
      <w:r w:rsidR="00F82DA2">
        <w:t>Servidor da API do Kubernetes a partir do Cluster do AKS ativado para a Zona de Disponibilidade aprovisionada na região.</w:t>
      </w:r>
    </w:p>
    <w:p w14:paraId="5A3F2225" w14:textId="38C3A51F"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para os Clusters do AKS ativados para a Zona de Disponibilidade é calculada como o Máximo de</w:t>
      </w:r>
      <w:r w:rsidR="00D87C26">
        <w:t> </w:t>
      </w:r>
      <w:r>
        <w:t>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491929FA" w14:textId="77777777" w:rsidR="007E7727" w:rsidRPr="001345FE" w:rsidRDefault="007E7727" w:rsidP="00F01ED6">
      <w:pPr>
        <w:pStyle w:val="ProductList-Body"/>
        <w:rPr>
          <w:sz w:val="12"/>
          <w:szCs w:val="12"/>
        </w:rPr>
      </w:pPr>
    </w:p>
    <w:p w14:paraId="656C265F" w14:textId="3F544E2C" w:rsidR="007E7727" w:rsidRPr="00EF7CF9" w:rsidRDefault="00000000"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26A7E8C"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dos Clusters do AKS com Zonas de 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B51CB06"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F01ED6">
            <w:pPr>
              <w:pStyle w:val="ProductList-OfferingBody"/>
              <w:jc w:val="center"/>
            </w:pPr>
            <w:r>
              <w:t>&lt; 99,95%</w:t>
            </w:r>
          </w:p>
        </w:tc>
        <w:tc>
          <w:tcPr>
            <w:tcW w:w="5400" w:type="dxa"/>
          </w:tcPr>
          <w:p w14:paraId="502E6A7A" w14:textId="77777777" w:rsidR="007E7727" w:rsidRPr="00EF7CF9" w:rsidRDefault="007E7727" w:rsidP="00F01ED6">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F01ED6">
            <w:pPr>
              <w:pStyle w:val="ProductList-OfferingBody"/>
              <w:jc w:val="center"/>
            </w:pPr>
            <w:r>
              <w:t>&lt; 99%</w:t>
            </w:r>
          </w:p>
        </w:tc>
        <w:tc>
          <w:tcPr>
            <w:tcW w:w="5400" w:type="dxa"/>
          </w:tcPr>
          <w:p w14:paraId="47AA3AAB" w14:textId="77777777" w:rsidR="007E7727" w:rsidRPr="00EF7CF9" w:rsidRDefault="007E7727" w:rsidP="00F01ED6">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F01ED6">
            <w:pPr>
              <w:pStyle w:val="ProductList-OfferingBody"/>
              <w:jc w:val="center"/>
            </w:pPr>
            <w:r>
              <w:t>&lt; 95%</w:t>
            </w:r>
          </w:p>
        </w:tc>
        <w:tc>
          <w:tcPr>
            <w:tcW w:w="5400" w:type="dxa"/>
          </w:tcPr>
          <w:p w14:paraId="39F4B2F2" w14:textId="433C6D15" w:rsidR="007E7727" w:rsidRPr="00EF7CF9" w:rsidRDefault="007E7727" w:rsidP="00F01ED6">
            <w:pPr>
              <w:pStyle w:val="ProductList-OfferingBody"/>
              <w:jc w:val="center"/>
            </w:pPr>
            <w:r>
              <w:t>100%</w:t>
            </w:r>
          </w:p>
        </w:tc>
      </w:tr>
    </w:tbl>
    <w:p w14:paraId="79783696" w14:textId="5885F0B1" w:rsidR="00F82DA2" w:rsidRPr="007E7727" w:rsidRDefault="00EE6E3C" w:rsidP="006B31E1">
      <w:pPr>
        <w:pStyle w:val="ProductList-Body"/>
        <w:spacing w:before="120"/>
        <w:rPr>
          <w:b/>
          <w:bCs/>
          <w:color w:val="00188F"/>
        </w:rPr>
      </w:pPr>
      <w:r>
        <w:rPr>
          <w:b/>
          <w:bCs/>
          <w:color w:val="00188F"/>
        </w:rPr>
        <w:t>Cálculo do Período de Disponibilidade e Níveis de Serviço para os Clusters do AKS que não utilizam as Zonas de Disponibilidade</w:t>
      </w:r>
    </w:p>
    <w:p w14:paraId="13D307EA" w14:textId="723B12FE"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aprovisionado até ao momento em que o Cliente iniciou uma ação para parar ou eliminar o cluster durante um Período Aplicável.</w:t>
      </w:r>
    </w:p>
    <w:p w14:paraId="290292FF" w14:textId="10D6EEC3"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em que o Cluster do</w:t>
      </w:r>
      <w:r w:rsidR="00C41789">
        <w:t> </w:t>
      </w:r>
      <w:r w:rsidR="00F82DA2">
        <w:t>AKS aprovisionado não tem conectividade ao Servidor da API do Kubernetes.</w:t>
      </w:r>
    </w:p>
    <w:p w14:paraId="146AF392" w14:textId="4DA27199"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é calculada como o Máximo de Minutos Disponíveis menos o Período de Indisponibilidade a</w:t>
      </w:r>
      <w:r w:rsidR="00C41789">
        <w:t> </w:t>
      </w:r>
      <w:r>
        <w:t>dividir pelo Máximo de Minutos Disponíveis num Período Aplicável para uma determinada subscrição do Microsoft Azure. A Percentagem de</w:t>
      </w:r>
      <w:r w:rsidR="00C41789">
        <w:t> </w:t>
      </w:r>
      <w:r>
        <w:t>Período de Disponibilidade é representada pela seguinte fórmula:</w:t>
      </w:r>
    </w:p>
    <w:p w14:paraId="102C74AA" w14:textId="77777777" w:rsidR="007E7727" w:rsidRPr="001345FE" w:rsidRDefault="007E7727" w:rsidP="00F01ED6">
      <w:pPr>
        <w:pStyle w:val="ProductList-Body"/>
        <w:rPr>
          <w:sz w:val="12"/>
          <w:szCs w:val="12"/>
        </w:rPr>
      </w:pPr>
    </w:p>
    <w:p w14:paraId="14845F17" w14:textId="1D931C78" w:rsidR="007E7727" w:rsidRPr="00EF7CF9" w:rsidRDefault="00000000"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4C1695"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faz dos Clusters do AKS sem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7BF5FE"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F01ED6">
            <w:pPr>
              <w:pStyle w:val="ProductList-OfferingBody"/>
              <w:jc w:val="center"/>
            </w:pPr>
            <w:r>
              <w:t>&lt; 99,9%</w:t>
            </w:r>
          </w:p>
        </w:tc>
        <w:tc>
          <w:tcPr>
            <w:tcW w:w="5400" w:type="dxa"/>
          </w:tcPr>
          <w:p w14:paraId="5AD73D01" w14:textId="77777777" w:rsidR="007E7727" w:rsidRPr="00EF7CF9" w:rsidRDefault="007E7727" w:rsidP="00F01ED6">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F01ED6">
            <w:pPr>
              <w:pStyle w:val="ProductList-OfferingBody"/>
              <w:jc w:val="center"/>
            </w:pPr>
            <w:r>
              <w:t>&lt; 99%</w:t>
            </w:r>
          </w:p>
        </w:tc>
        <w:tc>
          <w:tcPr>
            <w:tcW w:w="5400" w:type="dxa"/>
          </w:tcPr>
          <w:p w14:paraId="6DDB9075" w14:textId="77777777" w:rsidR="007E7727" w:rsidRPr="00EF7CF9" w:rsidRDefault="007E7727" w:rsidP="00F01ED6">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F01ED6">
            <w:pPr>
              <w:pStyle w:val="ProductList-OfferingBody"/>
              <w:jc w:val="center"/>
            </w:pPr>
            <w:r>
              <w:t>&lt; 95%</w:t>
            </w:r>
          </w:p>
        </w:tc>
        <w:tc>
          <w:tcPr>
            <w:tcW w:w="5400" w:type="dxa"/>
          </w:tcPr>
          <w:p w14:paraId="1D5703B2" w14:textId="77777777" w:rsidR="007E7727" w:rsidRPr="00EF7CF9" w:rsidRDefault="007E7727" w:rsidP="00F01ED6">
            <w:pPr>
              <w:pStyle w:val="ProductList-OfferingBody"/>
              <w:jc w:val="center"/>
            </w:pPr>
            <w:r>
              <w:t>100%</w:t>
            </w:r>
          </w:p>
        </w:tc>
      </w:tr>
    </w:tbl>
    <w:bookmarkStart w:id="288" w:name="_Toc5018197"/>
    <w:bookmarkStart w:id="289" w:name="_Toc52348933"/>
    <w:bookmarkStart w:id="290" w:name="_Toc510793664"/>
    <w:bookmarkStart w:id="291" w:name="_Toc484160665"/>
    <w:bookmarkEnd w:id="263"/>
    <w:p w14:paraId="698835A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D97676" w14:textId="4723D03D" w:rsidR="004005AF" w:rsidRPr="00EF7CF9" w:rsidRDefault="004005AF" w:rsidP="00F01ED6">
      <w:pPr>
        <w:pStyle w:val="ProductList-Offering2Heading"/>
        <w:tabs>
          <w:tab w:val="clear" w:pos="360"/>
          <w:tab w:val="clear" w:pos="720"/>
          <w:tab w:val="clear" w:pos="1080"/>
        </w:tabs>
        <w:outlineLvl w:val="2"/>
      </w:pPr>
      <w:bookmarkStart w:id="292" w:name="_Toc182409681"/>
      <w:r>
        <w:t>Azure Lab Services</w:t>
      </w:r>
      <w:bookmarkEnd w:id="288"/>
      <w:bookmarkEnd w:id="289"/>
      <w:bookmarkEnd w:id="292"/>
    </w:p>
    <w:p w14:paraId="6AA23733" w14:textId="77777777" w:rsidR="004005AF" w:rsidRPr="00EF7CF9" w:rsidRDefault="004005AF" w:rsidP="00F01ED6">
      <w:pPr>
        <w:pStyle w:val="ProductList-Body"/>
      </w:pPr>
      <w:r>
        <w:rPr>
          <w:b/>
          <w:color w:val="00188F"/>
        </w:rPr>
        <w:t>Definições Adicionais</w:t>
      </w:r>
      <w:r w:rsidRPr="00473DD3">
        <w:rPr>
          <w:b/>
          <w:color w:val="00188F"/>
        </w:rPr>
        <w:t>:</w:t>
      </w:r>
    </w:p>
    <w:p w14:paraId="6C2C916A" w14:textId="316ADECD"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aprovisionada dentro de um laboratório nos Azure Lab Services.</w:t>
      </w:r>
    </w:p>
    <w:p w14:paraId="04D39350" w14:textId="5194A615"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da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43C704A8" w14:textId="77777777" w:rsidR="004005AF" w:rsidRDefault="004005AF" w:rsidP="00F01ED6">
      <w:pPr>
        <w:spacing w:after="0" w:line="240" w:lineRule="auto"/>
        <w:rPr>
          <w:sz w:val="18"/>
        </w:rPr>
      </w:pPr>
    </w:p>
    <w:p w14:paraId="450A7B65" w14:textId="10AC90AD"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os Azure Lab Services</w:t>
      </w:r>
    </w:p>
    <w:p w14:paraId="3E2CADC7" w14:textId="18E6AC71" w:rsidR="004005AF" w:rsidRDefault="00380305" w:rsidP="00F01ED6">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designa o número total de minutos num determinado Período Aplicável.</w:t>
      </w:r>
    </w:p>
    <w:p w14:paraId="53138E33" w14:textId="3C82072C"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é o total de minutos acumulados que fazem parte dos Minutos no Período Aplicável sem Conectividade da</w:t>
      </w:r>
      <w:r w:rsidR="006A17CA">
        <w:rPr>
          <w:sz w:val="18"/>
        </w:rPr>
        <w:t> </w:t>
      </w:r>
      <w:r w:rsidR="004005AF">
        <w:rPr>
          <w:sz w:val="18"/>
        </w:rPr>
        <w:t>Máquina Virtual de Laboratório.</w:t>
      </w:r>
    </w:p>
    <w:p w14:paraId="30430B60" w14:textId="076ACAC4" w:rsidR="004005AF" w:rsidRDefault="00380305" w:rsidP="00F01ED6">
      <w:pPr>
        <w:pStyle w:val="ProductList-Body"/>
      </w:pPr>
      <w:r w:rsidRPr="00CB7596">
        <w:t>“</w:t>
      </w:r>
      <w:r w:rsidR="004005AF">
        <w:rPr>
          <w:b/>
          <w:color w:val="00188F"/>
        </w:rPr>
        <w:t>Percentagem de Período de Disponibilidade</w:t>
      </w:r>
      <w:r>
        <w:t>”</w:t>
      </w:r>
      <w:r w:rsidR="004005AF">
        <w:t xml:space="preserve"> é calculada pela percentagem de minutos num Período Aplicável para uma determinada subscrição Microsoft Azure, em que qualquer Máquina Virtual de Laboratório teve Período de Indisponibilidade.</w:t>
      </w:r>
    </w:p>
    <w:p w14:paraId="17183B58" w14:textId="10C81411" w:rsidR="004005AF" w:rsidRPr="00EF7CF9" w:rsidRDefault="004005AF" w:rsidP="00F01ED6">
      <w:pPr>
        <w:pStyle w:val="ProductList-Body"/>
      </w:pPr>
      <w:r>
        <w:t xml:space="preserve">A Percentagem de Período de Disponibilidade é calculada através da seguinte fórmula: </w:t>
      </w:r>
    </w:p>
    <w:p w14:paraId="17A94DCD" w14:textId="77777777" w:rsidR="004005AF" w:rsidRPr="00EF7CF9" w:rsidRDefault="004005AF" w:rsidP="00F01ED6">
      <w:pPr>
        <w:pStyle w:val="ProductList-Body"/>
      </w:pPr>
    </w:p>
    <w:p w14:paraId="551A791A" w14:textId="08F36FDD" w:rsidR="004005AF" w:rsidRPr="00A2017D"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F01ED6">
      <w:pPr>
        <w:pStyle w:val="ProductList-Body"/>
        <w:keepNext/>
        <w:keepLines/>
      </w:pPr>
      <w:r>
        <w:rPr>
          <w:b/>
          <w:color w:val="00188F"/>
        </w:rPr>
        <w:t>Os seguintes Níveis de Serviço e Créditos de Serviço são aplicáveis à utilização que o Cliente faz das Máquinas Virtuais de Laboratório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2E08530B" w14:textId="77777777" w:rsidR="004005AF" w:rsidRPr="00EF7CF9" w:rsidRDefault="004005AF" w:rsidP="00F01ED6">
            <w:pPr>
              <w:pStyle w:val="ProductList-OfferingBody"/>
              <w:keepNext/>
              <w:keepLines/>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F01ED6">
            <w:pPr>
              <w:pStyle w:val="ProductList-OfferingBody"/>
              <w:keepNext/>
              <w:keepLines/>
              <w:jc w:val="center"/>
            </w:pPr>
            <w:r>
              <w:t>&lt; 99,9%</w:t>
            </w:r>
          </w:p>
        </w:tc>
        <w:tc>
          <w:tcPr>
            <w:tcW w:w="5400" w:type="dxa"/>
          </w:tcPr>
          <w:p w14:paraId="5F11DDEE" w14:textId="77777777" w:rsidR="004005AF" w:rsidRPr="00EF7CF9" w:rsidRDefault="004005AF" w:rsidP="00F01ED6">
            <w:pPr>
              <w:pStyle w:val="ProductList-OfferingBody"/>
              <w:keepNext/>
              <w:keepLines/>
              <w:jc w:val="center"/>
            </w:pPr>
            <w:r>
              <w:t>10%</w:t>
            </w:r>
          </w:p>
        </w:tc>
      </w:tr>
      <w:tr w:rsidR="004005AF" w:rsidRPr="00B44CF9" w14:paraId="3EA53C01" w14:textId="77777777" w:rsidTr="00277097">
        <w:tc>
          <w:tcPr>
            <w:tcW w:w="5400" w:type="dxa"/>
          </w:tcPr>
          <w:p w14:paraId="68B646AD" w14:textId="77777777" w:rsidR="004005AF" w:rsidRPr="00EF7CF9" w:rsidRDefault="004005AF" w:rsidP="00F01ED6">
            <w:pPr>
              <w:pStyle w:val="ProductList-OfferingBody"/>
              <w:keepNext/>
              <w:keepLines/>
              <w:jc w:val="center"/>
            </w:pPr>
            <w:r>
              <w:t>&lt; 99%</w:t>
            </w:r>
          </w:p>
        </w:tc>
        <w:tc>
          <w:tcPr>
            <w:tcW w:w="5400" w:type="dxa"/>
          </w:tcPr>
          <w:p w14:paraId="33C24386" w14:textId="77777777" w:rsidR="004005AF" w:rsidRPr="00EF7CF9" w:rsidRDefault="004005AF" w:rsidP="00F01ED6">
            <w:pPr>
              <w:pStyle w:val="ProductList-OfferingBody"/>
              <w:keepNext/>
              <w:keepLines/>
              <w:jc w:val="center"/>
            </w:pPr>
            <w:r>
              <w:t>25%</w:t>
            </w:r>
          </w:p>
        </w:tc>
      </w:tr>
    </w:tbl>
    <w:bookmarkStart w:id="293" w:name="_Toc52348934"/>
    <w:p w14:paraId="51FC73F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C37CB2F" w14:textId="77777777" w:rsidR="004005AF" w:rsidRDefault="004005AF" w:rsidP="00F01ED6">
      <w:pPr>
        <w:pStyle w:val="ProductList-Offering2Heading"/>
        <w:tabs>
          <w:tab w:val="clear" w:pos="360"/>
          <w:tab w:val="clear" w:pos="720"/>
          <w:tab w:val="clear" w:pos="1080"/>
        </w:tabs>
        <w:outlineLvl w:val="2"/>
      </w:pPr>
      <w:bookmarkStart w:id="294" w:name="_Toc182409682"/>
      <w:r>
        <w:t>Balanceador de Carga do Azure</w:t>
      </w:r>
      <w:bookmarkEnd w:id="290"/>
      <w:bookmarkEnd w:id="293"/>
      <w:bookmarkEnd w:id="294"/>
    </w:p>
    <w:p w14:paraId="137AB573" w14:textId="77777777" w:rsidR="004005AF" w:rsidRPr="00911548" w:rsidRDefault="004005AF" w:rsidP="00F01ED6">
      <w:pPr>
        <w:pStyle w:val="ProductList-Body"/>
      </w:pPr>
      <w:r>
        <w:rPr>
          <w:b/>
          <w:color w:val="00188F"/>
        </w:rPr>
        <w:t>Definições Adicionais</w:t>
      </w:r>
      <w:r w:rsidRPr="00473DD3">
        <w:rPr>
          <w:b/>
          <w:color w:val="00188F"/>
        </w:rPr>
        <w:t>:</w:t>
      </w:r>
    </w:p>
    <w:p w14:paraId="658FBB6A" w14:textId="74E8B8B6" w:rsidR="004005AF" w:rsidRPr="00EB0868" w:rsidRDefault="00380305" w:rsidP="00F01ED6">
      <w:pPr>
        <w:spacing w:after="0" w:line="240" w:lineRule="auto"/>
        <w:rPr>
          <w:sz w:val="18"/>
        </w:rPr>
      </w:pPr>
      <w:r>
        <w:rPr>
          <w:sz w:val="18"/>
        </w:rPr>
        <w:t>“</w:t>
      </w:r>
      <w:r w:rsidR="004005AF">
        <w:rPr>
          <w:b/>
          <w:color w:val="00188F"/>
          <w:sz w:val="18"/>
        </w:rPr>
        <w:t>Ponto Final com Balanceamento de Carga</w:t>
      </w:r>
      <w:r>
        <w:rPr>
          <w:sz w:val="18"/>
        </w:rPr>
        <w:t>”</w:t>
      </w:r>
      <w:r w:rsidR="004005AF">
        <w:rPr>
          <w:sz w:val="18"/>
        </w:rPr>
        <w:t xml:space="preserve"> designa um endereço IP e a definição da porta de transporte IP associada.</w:t>
      </w:r>
    </w:p>
    <w:p w14:paraId="5615CC04" w14:textId="3B6A7F45" w:rsidR="004005AF" w:rsidRPr="00EB0868" w:rsidRDefault="00380305" w:rsidP="00F01ED6">
      <w:pPr>
        <w:spacing w:after="0" w:line="240" w:lineRule="auto"/>
        <w:rPr>
          <w:sz w:val="18"/>
        </w:rPr>
      </w:pPr>
      <w:r>
        <w:rPr>
          <w:sz w:val="18"/>
        </w:rPr>
        <w:t>“</w:t>
      </w:r>
      <w:r w:rsidR="004005AF">
        <w:rPr>
          <w:b/>
          <w:color w:val="00188F"/>
          <w:sz w:val="18"/>
        </w:rPr>
        <w:t>Máquina Virtual em Bom Estado de Funcionamento</w:t>
      </w:r>
      <w:r>
        <w:rPr>
          <w:sz w:val="18"/>
        </w:rPr>
        <w:t>”</w:t>
      </w:r>
      <w:r w:rsidR="004005AF">
        <w:rPr>
          <w:sz w:val="18"/>
        </w:rPr>
        <w:t xml:space="preserve">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1D408E9F" w14:textId="484E90D9" w:rsidR="004005AF" w:rsidRPr="00EB0868" w:rsidRDefault="00380305" w:rsidP="00F01ED6">
      <w:pPr>
        <w:spacing w:after="0" w:line="240" w:lineRule="auto"/>
        <w:rPr>
          <w:sz w:val="18"/>
        </w:rPr>
      </w:pPr>
      <w:r>
        <w:rPr>
          <w:sz w:val="18"/>
        </w:rPr>
        <w:t>“</w:t>
      </w:r>
      <w:r w:rsidR="004005AF">
        <w:rPr>
          <w:b/>
          <w:color w:val="00188F"/>
          <w:sz w:val="18"/>
        </w:rPr>
        <w:t>Conectividade</w:t>
      </w:r>
      <w:r>
        <w:rPr>
          <w:sz w:val="18"/>
        </w:rPr>
        <w:t>”</w:t>
      </w:r>
      <w:r w:rsidR="004005AF">
        <w:rPr>
          <w:sz w:val="18"/>
        </w:rPr>
        <w:t xml:space="preserve"> designa o tráfego de rede bidirecional através de protocolos de transporte IP suportados que podem ser enviados e recebidos de</w:t>
      </w:r>
      <w:r w:rsidR="004D6ED7">
        <w:rPr>
          <w:sz w:val="18"/>
        </w:rPr>
        <w:t> </w:t>
      </w:r>
      <w:r w:rsidR="004005AF">
        <w:rPr>
          <w:sz w:val="18"/>
        </w:rPr>
        <w:t>qualquer endereço IP configurado para permitir o tráfego.</w:t>
      </w:r>
    </w:p>
    <w:p w14:paraId="50AC2315" w14:textId="77777777" w:rsidR="004005AF" w:rsidRDefault="004005AF" w:rsidP="00F01ED6">
      <w:pPr>
        <w:spacing w:after="0" w:line="240" w:lineRule="auto"/>
        <w:rPr>
          <w:sz w:val="18"/>
        </w:rPr>
      </w:pPr>
    </w:p>
    <w:p w14:paraId="76CAB4BE" w14:textId="7D249216"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 Balanceador de Carga do Azure</w:t>
      </w:r>
    </w:p>
    <w:p w14:paraId="5984CE3D" w14:textId="394C7D7D"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Período Aplicável.</w:t>
      </w:r>
    </w:p>
    <w:p w14:paraId="56E8E5AE" w14:textId="3CADA36C" w:rsidR="004005AF" w:rsidRPr="006C1AC0"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número total de minutos durante o Máximo de Minutos Disponíveis durante os quais o Balanceador de Carga Standard do Azure está indisponível. Um minuto é considerado indisponível se todas as Máquinas Virtuais Saudáveis não têm Conectividade através do Ponto Final Equilibrado de Carga. O Período de Indisponibilidade não inclui minutos resultantes de esgotamentos de portas SNAT.</w:t>
      </w:r>
    </w:p>
    <w:p w14:paraId="3FC03727" w14:textId="47ADF572" w:rsidR="004005AF" w:rsidRPr="00ED4527" w:rsidRDefault="004005AF" w:rsidP="00F01ED6">
      <w:pPr>
        <w:pStyle w:val="ProductList-Body"/>
        <w:rPr>
          <w:color w:val="000000" w:themeColor="text1"/>
        </w:rPr>
      </w:pPr>
      <w:r>
        <w:t xml:space="preserve">A </w:t>
      </w:r>
      <w:r w:rsidR="00380305" w:rsidRPr="00CB7596">
        <w:t>“</w:t>
      </w:r>
      <w:r>
        <w:rPr>
          <w:b/>
          <w:bCs/>
          <w:color w:val="00188F"/>
        </w:rPr>
        <w:t>Percentagem de Período de Disponibilidade</w:t>
      </w:r>
      <w:r w:rsidR="00380305" w:rsidRPr="00CB7596">
        <w:t>”</w:t>
      </w:r>
      <w:r>
        <w:rPr>
          <w:color w:val="000000" w:themeColor="text1"/>
        </w:rPr>
        <w:t xml:space="preserve"> para o Balanceador de Carga Standard do Azure é calculada como o Máximo de Minutos Disponíveis menos o Período de Indisponibilidade a dividir pelo Máximo de Minutos Disponíveis multiplicado por 100.</w:t>
      </w:r>
    </w:p>
    <w:p w14:paraId="4C109F12" w14:textId="7B357005"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4B34F74" w14:textId="77777777" w:rsidR="004005AF" w:rsidRDefault="004005AF" w:rsidP="00F01ED6">
      <w:pPr>
        <w:pStyle w:val="ProductList-Body"/>
      </w:pPr>
    </w:p>
    <w:p w14:paraId="5DFBEDC7" w14:textId="17DD377C" w:rsidR="004005AF" w:rsidRPr="00434BE0"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4DDE6ED" w14:textId="77777777" w:rsidR="004005AF" w:rsidRDefault="004005AF" w:rsidP="00F01ED6">
      <w:pPr>
        <w:pStyle w:val="ProductList-Body"/>
      </w:pPr>
      <w:r>
        <w:rPr>
          <w:b/>
          <w:color w:val="00188F"/>
        </w:rPr>
        <w:t>Os seguintes Níveis de Serviço e Crédito de Serviço são aplicáveis à utilização do Equilibrador de Carga do Azure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E8FB43"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F01ED6">
            <w:pPr>
              <w:pStyle w:val="ProductList-OfferingBody"/>
              <w:jc w:val="center"/>
            </w:pPr>
            <w:r>
              <w:t>&lt; 99,99%</w:t>
            </w:r>
          </w:p>
        </w:tc>
        <w:tc>
          <w:tcPr>
            <w:tcW w:w="5400" w:type="dxa"/>
          </w:tcPr>
          <w:p w14:paraId="06B44C4A" w14:textId="77777777" w:rsidR="004005AF" w:rsidRPr="0076238C" w:rsidRDefault="004005AF" w:rsidP="00F01ED6">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F01ED6">
            <w:pPr>
              <w:pStyle w:val="ProductList-OfferingBody"/>
              <w:jc w:val="center"/>
            </w:pPr>
            <w:r>
              <w:t>&lt; 99,9%</w:t>
            </w:r>
          </w:p>
        </w:tc>
        <w:tc>
          <w:tcPr>
            <w:tcW w:w="5400" w:type="dxa"/>
          </w:tcPr>
          <w:p w14:paraId="4E5345A1" w14:textId="77777777" w:rsidR="004005AF" w:rsidRPr="0076238C" w:rsidRDefault="004005AF" w:rsidP="00F01ED6">
            <w:pPr>
              <w:pStyle w:val="ProductList-OfferingBody"/>
              <w:jc w:val="center"/>
            </w:pPr>
            <w:r>
              <w:t>25%</w:t>
            </w:r>
          </w:p>
        </w:tc>
      </w:tr>
    </w:tbl>
    <w:p w14:paraId="675E398D" w14:textId="77777777" w:rsidR="004005AF" w:rsidRPr="00695A61" w:rsidRDefault="004005AF" w:rsidP="00F01ED6">
      <w:pPr>
        <w:pStyle w:val="ProductList-Body"/>
        <w:rPr>
          <w:sz w:val="12"/>
          <w:szCs w:val="12"/>
        </w:rPr>
      </w:pPr>
    </w:p>
    <w:p w14:paraId="24D2B95B" w14:textId="77777777" w:rsidR="004005AF" w:rsidRDefault="004005AF" w:rsidP="00F01ED6">
      <w:pPr>
        <w:pStyle w:val="ProductList-Body"/>
      </w:pPr>
      <w:r>
        <w:rPr>
          <w:b/>
          <w:color w:val="00188F"/>
        </w:rPr>
        <w:t>Exceções de Nível de Serviço</w:t>
      </w:r>
      <w:r w:rsidRPr="00473DD3">
        <w:rPr>
          <w:b/>
          <w:color w:val="00188F"/>
        </w:rPr>
        <w:t>:</w:t>
      </w:r>
      <w:r>
        <w:t xml:space="preserve"> Não é fornecido nenhum SLA para o Equilibrador de Carga Básico.</w:t>
      </w:r>
    </w:p>
    <w:bookmarkStart w:id="295" w:name="_Toc457806469"/>
    <w:bookmarkStart w:id="296" w:name="_Toc457821556"/>
    <w:bookmarkStart w:id="297" w:name="_Toc52348963"/>
    <w:bookmarkStart w:id="298" w:name="_Toc513395515"/>
    <w:bookmarkStart w:id="299" w:name="_Toc52348935"/>
    <w:bookmarkStart w:id="300" w:name="_Hlk513540130"/>
    <w:p w14:paraId="029C701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F6C59B" w14:textId="77777777" w:rsidR="00BC2A9C" w:rsidRDefault="00BC2A9C" w:rsidP="00F01ED6">
      <w:pPr>
        <w:pStyle w:val="ProductList-Offering2Heading"/>
        <w:keepNext/>
        <w:tabs>
          <w:tab w:val="clear" w:pos="360"/>
        </w:tabs>
        <w:outlineLvl w:val="2"/>
      </w:pPr>
      <w:bookmarkStart w:id="301" w:name="_Toc182409683"/>
      <w:r>
        <w:t>Azure Load Testing</w:t>
      </w:r>
      <w:bookmarkEnd w:id="301"/>
    </w:p>
    <w:p w14:paraId="3F07AB71" w14:textId="77777777" w:rsidR="00BC2A9C" w:rsidRDefault="00BC2A9C" w:rsidP="00F01ED6">
      <w:pPr>
        <w:pStyle w:val="ProductList-Body"/>
        <w:rPr>
          <w:b/>
          <w:color w:val="00188F"/>
        </w:rPr>
      </w:pPr>
      <w:r>
        <w:rPr>
          <w:b/>
          <w:color w:val="00188F"/>
        </w:rPr>
        <w:t>Definições Adicionais</w:t>
      </w:r>
    </w:p>
    <w:p w14:paraId="2448E99D" w14:textId="2B043D5B"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Implementação</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o número total de minutos durante os quais um determinado Recurso do Serviço Azure Load Testing foi implementado no Microsoft Azure durante um Período Aplicável.</w:t>
      </w:r>
      <w:r w:rsidR="000514F4">
        <w:rPr>
          <w:rFonts w:asciiTheme="minorHAnsi" w:eastAsiaTheme="minorHAnsi" w:hAnsiTheme="minorHAnsi" w:cstheme="minorBidi"/>
          <w:sz w:val="18"/>
          <w:szCs w:val="22"/>
        </w:rPr>
        <w:t xml:space="preserve"> </w:t>
      </w:r>
    </w:p>
    <w:p w14:paraId="1C370487" w14:textId="5531CE1F"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w:t>
      </w:r>
    </w:p>
    <w:p w14:paraId="05B57661" w14:textId="4CC41807"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Período de Indisponibilidade</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durante o qual o Recurso do Teste de Carga está indisponível. Um minuto é considerado indisponível para um determinado Serviço se todos os pedidos de HTTP contínuos para executar operações nesse minuto resultarem num Código de Erro ou se não devolverem uma resposta ao fim de 5 minutos.</w:t>
      </w:r>
      <w:r w:rsidR="000514F4">
        <w:rPr>
          <w:rFonts w:asciiTheme="minorHAnsi" w:eastAsiaTheme="minorHAnsi" w:hAnsiTheme="minorHAnsi" w:cstheme="minorBidi"/>
          <w:sz w:val="18"/>
          <w:szCs w:val="22"/>
        </w:rPr>
        <w:t xml:space="preserve"> </w:t>
      </w:r>
    </w:p>
    <w:p w14:paraId="1D8B17B8" w14:textId="38D310D5"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7C19B552" w14:textId="77777777" w:rsidR="00BC2A9C" w:rsidRDefault="00BC2A9C" w:rsidP="00F01ED6">
      <w:pPr>
        <w:pStyle w:val="ProductList-Body"/>
      </w:pPr>
    </w:p>
    <w:p w14:paraId="014E15EF" w14:textId="362756AC" w:rsidR="00BC2A9C"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AC3124" w14:textId="77777777" w:rsidR="00BC2A9C" w:rsidRDefault="00BC2A9C" w:rsidP="00F01ED6">
      <w:pPr>
        <w:pStyle w:val="ProductList-Body"/>
        <w:keepNext/>
        <w:rPr>
          <w:b/>
          <w:bCs/>
          <w:color w:val="00188F"/>
        </w:rPr>
      </w:pPr>
      <w:r>
        <w:rPr>
          <w:b/>
          <w:bCs/>
          <w:color w:val="00188F"/>
        </w:rPr>
        <w:t>Os seguintes Níveis de Serviço e Crédito de Serviço são aplicáveis à utilização do Azure Load Testing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F01ED6">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F01ED6">
            <w:pPr>
              <w:pStyle w:val="ProductList-OfferingBody"/>
              <w:jc w:val="center"/>
            </w:pPr>
            <w:r>
              <w:t>25%</w:t>
            </w:r>
          </w:p>
        </w:tc>
      </w:tr>
    </w:tbl>
    <w:bookmarkStart w:id="302" w:name="_Toc52348962"/>
    <w:p w14:paraId="5B108B6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CC165B" w14:textId="77777777" w:rsidR="00C215C5" w:rsidRDefault="00C215C5" w:rsidP="00F01ED6">
      <w:pPr>
        <w:pStyle w:val="ProductList-Offering2Heading"/>
        <w:tabs>
          <w:tab w:val="clear" w:pos="360"/>
        </w:tabs>
        <w:outlineLvl w:val="2"/>
      </w:pPr>
      <w:bookmarkStart w:id="303" w:name="_Toc182409684"/>
      <w:r>
        <w:t>Log Analytics (SLA de Disponibilidade de Consultas)</w:t>
      </w:r>
      <w:bookmarkEnd w:id="302"/>
      <w:bookmarkEnd w:id="303"/>
    </w:p>
    <w:p w14:paraId="448258F5" w14:textId="77777777" w:rsidR="00C215C5" w:rsidRDefault="00C215C5" w:rsidP="00F01ED6">
      <w:pPr>
        <w:pStyle w:val="ProductList-Body"/>
      </w:pPr>
      <w:r>
        <w:rPr>
          <w:b/>
          <w:color w:val="00188F"/>
        </w:rPr>
        <w:t>Definições Adicionais</w:t>
      </w:r>
      <w:r w:rsidRPr="00473DD3">
        <w:rPr>
          <w:b/>
          <w:color w:val="00188F"/>
        </w:rPr>
        <w:t>:</w:t>
      </w:r>
    </w:p>
    <w:p w14:paraId="579B75CF" w14:textId="28736413" w:rsidR="00C215C5" w:rsidRDefault="00380305" w:rsidP="00F01ED6">
      <w:pPr>
        <w:pStyle w:val="ProductList-Body"/>
      </w:pPr>
      <w:r w:rsidRPr="00CB7596">
        <w:t>“</w:t>
      </w:r>
      <w:r w:rsidR="00C215C5">
        <w:rPr>
          <w:b/>
          <w:color w:val="00188F"/>
        </w:rPr>
        <w:t>Máximo de Minutos Disponíveis</w:t>
      </w:r>
      <w:r w:rsidRPr="00CB7596">
        <w:t>”</w:t>
      </w:r>
      <w:r w:rsidR="00C215C5">
        <w:t xml:space="preserve"> designa o número total de minutos que uma determinada Área de Trabalho do Log Analytics esteve implementada pelo Cliente numa subscrição do Microsoft Azure durante um Período Aplicável.</w:t>
      </w:r>
    </w:p>
    <w:p w14:paraId="020378FE" w14:textId="3029A787" w:rsidR="00C215C5" w:rsidRDefault="00380305" w:rsidP="00F01ED6">
      <w:pPr>
        <w:pStyle w:val="ProductList-Body"/>
      </w:pPr>
      <w:r w:rsidRPr="00CB7596">
        <w:t>“</w:t>
      </w:r>
      <w:r w:rsidR="00C215C5">
        <w:rPr>
          <w:b/>
          <w:color w:val="00188F"/>
        </w:rPr>
        <w:t>Período de Indisponibilidade</w:t>
      </w:r>
      <w:r w:rsidRPr="00CB7596">
        <w:t>”</w:t>
      </w:r>
      <w:r w:rsidR="00C215C5">
        <w:t xml:space="preserve"> designa o número total de minutos durante o Máximo de Minutos Disponíveis que os dados numa Área de</w:t>
      </w:r>
      <w:r w:rsidR="007E1901">
        <w:t> </w:t>
      </w:r>
      <w:r w:rsidR="00C215C5">
        <w:t>Trabalho do Log Analytics estão indisponíveis. Um minuto de indisponibilidade de uma determinada Área de Trabalho do Log Analytics consiste</w:t>
      </w:r>
      <w:r w:rsidR="007E1901">
        <w:t> </w:t>
      </w:r>
      <w:r w:rsidR="00C215C5">
        <w:t xml:space="preserve">no período de tempo durante o qual não se registou qualquer operação de HTTP que tenha resultado num Código de Sucesso. </w:t>
      </w:r>
    </w:p>
    <w:p w14:paraId="5A45663D" w14:textId="55746A16" w:rsidR="00C215C5" w:rsidRDefault="00C215C5" w:rsidP="00F01ED6">
      <w:pPr>
        <w:pStyle w:val="ProductList-Body"/>
      </w:pPr>
      <w:r>
        <w:t xml:space="preserve">A </w:t>
      </w:r>
      <w:r w:rsidR="00380305" w:rsidRPr="00CB7596">
        <w:t>“</w:t>
      </w:r>
      <w:r>
        <w:rPr>
          <w:b/>
          <w:color w:val="00188F"/>
        </w:rPr>
        <w:t>Percentagem de Disponibilidade para Consulta</w:t>
      </w:r>
      <w:r w:rsidR="00380305" w:rsidRPr="00CB7596">
        <w:t>”</w:t>
      </w:r>
      <w:r>
        <w:t xml:space="preserve"> de uma determinada Área de Trabalho do Log Analytics é calculada como o Máximo de</w:t>
      </w:r>
      <w:r w:rsidR="00B75BF8">
        <w:t> </w:t>
      </w:r>
      <w:r>
        <w:t>Minutos Disponíveis menos o Período de Indisponibilidade, a dividir pelo Máximo de Minutos Disponíveis a multiplicar por 100.</w:t>
      </w:r>
    </w:p>
    <w:p w14:paraId="33701452" w14:textId="77777777" w:rsidR="00C215C5" w:rsidRDefault="00C215C5" w:rsidP="00F01ED6">
      <w:pPr>
        <w:pStyle w:val="ProductList-Body"/>
      </w:pPr>
    </w:p>
    <w:p w14:paraId="6DC85651" w14:textId="202902D0" w:rsidR="00C215C5" w:rsidRDefault="00C215C5" w:rsidP="00F01ED6">
      <w:pPr>
        <w:pStyle w:val="ProductList-Body"/>
      </w:pPr>
      <w:r>
        <w:rPr>
          <w:b/>
          <w:color w:val="00188F"/>
        </w:rPr>
        <w:t>Percentagem de Disponibilidade para Consulta</w:t>
      </w:r>
      <w:r w:rsidRPr="00473DD3">
        <w:rPr>
          <w:b/>
          <w:color w:val="00188F"/>
        </w:rPr>
        <w:t>:</w:t>
      </w:r>
      <w:r>
        <w:t xml:space="preserve"> A Percentagem de Disponibilidade para Consulta é calculada utilizando a seguinte fórmula:</w:t>
      </w:r>
    </w:p>
    <w:p w14:paraId="39A45B09" w14:textId="77777777" w:rsidR="00C215C5" w:rsidRDefault="00C215C5" w:rsidP="00F01ED6">
      <w:pPr>
        <w:pStyle w:val="ProductList-Body"/>
      </w:pPr>
    </w:p>
    <w:p w14:paraId="71453A9D" w14:textId="68DBF484" w:rsidR="00C215C5" w:rsidRDefault="00000000" w:rsidP="0001165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7E68AC8" w14:textId="77777777" w:rsidR="00C215C5" w:rsidRDefault="00C215C5" w:rsidP="00F01ED6">
      <w:pPr>
        <w:pStyle w:val="ProductList-ClauseHeading"/>
        <w:keepNext/>
      </w:pPr>
      <w:r>
        <w:t>Crédito de Serviço</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F01ED6">
            <w:pPr>
              <w:pStyle w:val="ProductList-OfferingBody"/>
              <w:jc w:val="center"/>
              <w:rPr>
                <w:color w:val="FFFFFF" w:themeColor="background1"/>
              </w:rPr>
            </w:pPr>
            <w:r>
              <w:rPr>
                <w:color w:val="FFFFFF" w:themeColor="background1"/>
              </w:rPr>
              <w:t>Percentagem de Disponibilidade para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F01ED6">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F01ED6">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F01ED6">
            <w:pPr>
              <w:pStyle w:val="ProductList-OfferingBody"/>
              <w:jc w:val="center"/>
            </w:pPr>
            <w:r>
              <w:t>25%</w:t>
            </w:r>
          </w:p>
        </w:tc>
      </w:tr>
    </w:tbl>
    <w:p w14:paraId="182BF3EE"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8F3FBF" w14:textId="77777777" w:rsidR="0018185B" w:rsidRPr="00EF7CF9" w:rsidRDefault="0018185B" w:rsidP="00F01ED6">
      <w:pPr>
        <w:pStyle w:val="ProductList-Offering2Heading"/>
        <w:keepNext/>
        <w:tabs>
          <w:tab w:val="clear" w:pos="360"/>
          <w:tab w:val="clear" w:pos="720"/>
          <w:tab w:val="clear" w:pos="1080"/>
        </w:tabs>
        <w:outlineLvl w:val="2"/>
      </w:pPr>
      <w:bookmarkStart w:id="304" w:name="_Toc182409685"/>
      <w:r>
        <w:t>Aplicações Lógicas</w:t>
      </w:r>
      <w:bookmarkEnd w:id="295"/>
      <w:bookmarkEnd w:id="296"/>
      <w:bookmarkEnd w:id="297"/>
      <w:bookmarkEnd w:id="304"/>
    </w:p>
    <w:p w14:paraId="1C8D405B" w14:textId="77777777" w:rsidR="0018185B" w:rsidRPr="00EF7CF9" w:rsidRDefault="0018185B" w:rsidP="00F01ED6">
      <w:pPr>
        <w:pStyle w:val="ProductList-Body"/>
        <w:keepNext/>
      </w:pPr>
      <w:r>
        <w:rPr>
          <w:b/>
          <w:color w:val="00188F"/>
        </w:rPr>
        <w:t>Definições Adicionais</w:t>
      </w:r>
      <w:r w:rsidRPr="00473DD3">
        <w:rPr>
          <w:b/>
          <w:color w:val="00188F"/>
        </w:rPr>
        <w:t>:</w:t>
      </w:r>
    </w:p>
    <w:p w14:paraId="71EA9ED9" w14:textId="26016095" w:rsidR="0018185B" w:rsidRPr="00EF7CF9" w:rsidRDefault="00380305" w:rsidP="00F01ED6">
      <w:pPr>
        <w:pStyle w:val="ProductList-Body"/>
      </w:pPr>
      <w:r>
        <w:t>“</w:t>
      </w:r>
      <w:r w:rsidR="0018185B">
        <w:rPr>
          <w:b/>
          <w:color w:val="00188F"/>
        </w:rPr>
        <w:t>Minutos de Implementação</w:t>
      </w:r>
      <w:r>
        <w:t>”</w:t>
      </w:r>
      <w:r w:rsidR="0018185B">
        <w:t xml:space="preserve"> designa o número total de minutos durante os quais uma determinada Aplicação Lógica foi definida para ser executada no Microsoft Azure durante um Período Aplicável. Os Minutos de Implementação são calculados a partir do momento em que a</w:t>
      </w:r>
      <w:r w:rsidR="008B2475">
        <w:t> </w:t>
      </w:r>
      <w:r w:rsidR="0018185B">
        <w:t>Aplicação Lógica foi criada ou o Cliente iniciou uma ação que resultaria na execução da Aplicação Lógica até ao momento em que o Cliente iniciou</w:t>
      </w:r>
      <w:r w:rsidR="008B2475">
        <w:t> </w:t>
      </w:r>
      <w:r w:rsidR="0018185B">
        <w:t xml:space="preserve">uma ação que resultaria na interrupção ou eliminação da Aplicação Lógica. </w:t>
      </w:r>
    </w:p>
    <w:p w14:paraId="50DCE916" w14:textId="5B1399CE" w:rsidR="0018185B" w:rsidRPr="00EF7CF9" w:rsidRDefault="00380305" w:rsidP="00F01ED6">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Pr>
          <w:b/>
          <w:color w:val="00188F"/>
          <w:sz w:val="18"/>
          <w:szCs w:val="18"/>
        </w:rPr>
        <w:t xml:space="preserve"> </w:t>
      </w:r>
      <w:r w:rsidR="0018185B">
        <w:rPr>
          <w:sz w:val="18"/>
        </w:rPr>
        <w:t>designa a soma de todos os Minutos de Implementação em todas as Aplicações Lógicas implementadas pelo</w:t>
      </w:r>
      <w:r w:rsidR="00D36A29">
        <w:rPr>
          <w:sz w:val="18"/>
        </w:rPr>
        <w:t> </w:t>
      </w:r>
      <w:r w:rsidR="0018185B">
        <w:rPr>
          <w:sz w:val="18"/>
        </w:rPr>
        <w:t>Cliente numa determinada subscrição do Microsoft Azure durante um Período Aplicável.</w:t>
      </w:r>
    </w:p>
    <w:p w14:paraId="45E6CD61" w14:textId="3782791F" w:rsidR="0018185B" w:rsidRPr="00EF7CF9" w:rsidRDefault="00380305" w:rsidP="00F01ED6">
      <w:pPr>
        <w:pStyle w:val="ProductList-Body"/>
      </w:pPr>
      <w:r>
        <w:t>“</w:t>
      </w:r>
      <w:r w:rsidR="0018185B">
        <w:rPr>
          <w:b/>
          <w:color w:val="00188F"/>
        </w:rPr>
        <w:t>Período de Indisponibilidade</w:t>
      </w:r>
      <w:r>
        <w:t>”</w:t>
      </w:r>
      <w:r w:rsidR="0018185B">
        <w:rPr>
          <w:b/>
          <w:color w:val="00188F"/>
        </w:rPr>
        <w:t xml:space="preserve"> </w:t>
      </w:r>
      <w:r w:rsidR="0018185B">
        <w:t>designa 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4261DAA7" w14:textId="558012BE" w:rsidR="0018185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5A620EC" w14:textId="77777777" w:rsidR="00907318" w:rsidRPr="00907318" w:rsidRDefault="00907318" w:rsidP="00F01ED6">
      <w:pPr>
        <w:pStyle w:val="ProductList-Body"/>
        <w:rPr>
          <w:sz w:val="12"/>
          <w:szCs w:val="12"/>
        </w:rPr>
      </w:pPr>
    </w:p>
    <w:p w14:paraId="1BD740A8" w14:textId="50D1124F" w:rsidR="0018185B" w:rsidRPr="00EF7CF9" w:rsidRDefault="00000000" w:rsidP="0001165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D83424" w14:textId="77777777" w:rsidR="0018185B" w:rsidRPr="00EF7CF9" w:rsidRDefault="0018185B" w:rsidP="00F01ED6">
      <w:pPr>
        <w:pStyle w:val="ProductList-Body"/>
        <w:rPr>
          <w:szCs w:val="18"/>
        </w:rPr>
      </w:pPr>
      <w:r>
        <w:rPr>
          <w:b/>
          <w:color w:val="00188F"/>
          <w:szCs w:val="18"/>
        </w:rPr>
        <w:t>Crédito de Serviço</w:t>
      </w:r>
      <w:r w:rsidRPr="00473DD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946C4B" w14:textId="77777777" w:rsidR="0018185B" w:rsidRPr="00EF7CF9" w:rsidRDefault="0018185B" w:rsidP="00F01ED6">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F01ED6">
            <w:pPr>
              <w:pStyle w:val="ProductList-OfferingBody"/>
              <w:jc w:val="center"/>
            </w:pPr>
            <w:r>
              <w:t>&lt; 99,9%</w:t>
            </w:r>
          </w:p>
        </w:tc>
        <w:tc>
          <w:tcPr>
            <w:tcW w:w="5400" w:type="dxa"/>
          </w:tcPr>
          <w:p w14:paraId="5F5BBE95" w14:textId="77777777" w:rsidR="0018185B" w:rsidRPr="00EF7CF9" w:rsidRDefault="0018185B" w:rsidP="00F01ED6">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F01ED6">
            <w:pPr>
              <w:pStyle w:val="ProductList-OfferingBody"/>
              <w:jc w:val="center"/>
            </w:pPr>
            <w:r>
              <w:t>&lt; 99%</w:t>
            </w:r>
          </w:p>
        </w:tc>
        <w:tc>
          <w:tcPr>
            <w:tcW w:w="5400" w:type="dxa"/>
          </w:tcPr>
          <w:p w14:paraId="63EBC3F3" w14:textId="77777777" w:rsidR="0018185B" w:rsidRPr="00EF7CF9" w:rsidRDefault="0018185B" w:rsidP="00F01ED6">
            <w:pPr>
              <w:pStyle w:val="ProductList-OfferingBody"/>
              <w:jc w:val="center"/>
            </w:pPr>
            <w:r>
              <w:t>25%</w:t>
            </w:r>
          </w:p>
        </w:tc>
      </w:tr>
    </w:tbl>
    <w:p w14:paraId="5B529FE5" w14:textId="77777777" w:rsidR="00521CBF" w:rsidRDefault="00521CBF" w:rsidP="00AB785C">
      <w:pPr>
        <w:keepNext/>
        <w:spacing w:before="120" w:after="0" w:line="240" w:lineRule="auto"/>
        <w:rPr>
          <w:rFonts w:ascii="Calibri" w:hAnsi="Calibri" w:cs="Calibri"/>
          <w:sz w:val="18"/>
          <w:szCs w:val="18"/>
        </w:rPr>
      </w:pPr>
      <w:r>
        <w:rPr>
          <w:rFonts w:ascii="Calibri" w:hAnsi="Calibri" w:cs="Calibri"/>
          <w:sz w:val="18"/>
          <w:szCs w:val="18"/>
        </w:rPr>
        <w:t>A partir de 1 de setembro de 2024, o Ambiente de Serviços de Integração é uma funcionalidade do Serviço retirada e o seu Intervalo de Suporte expirou. O Logic Apps implementado num Ambiente de Serviços de Integração já não oferece quaisquer garantias de Nível de Serviço e, por extensão, Créditos de Serviço, para problemas de desempenho ou disponibilidade relacionados com o Logic Apps em execução no Ambiente de Serviços de Integração.</w:t>
      </w:r>
    </w:p>
    <w:p w14:paraId="3C1D8F9D" w14:textId="77777777" w:rsidR="00AD56BC" w:rsidRPr="00EF7CF9" w:rsidRDefault="00AD56BC" w:rsidP="00AD5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16F48B3" w14:textId="77777777" w:rsidR="00AD6527" w:rsidRPr="00AD6527" w:rsidRDefault="00AD6527" w:rsidP="00F01ED6">
      <w:pPr>
        <w:pStyle w:val="ProductList-Offering2Heading"/>
        <w:keepNext/>
        <w:tabs>
          <w:tab w:val="clear" w:pos="360"/>
          <w:tab w:val="clear" w:pos="720"/>
          <w:tab w:val="clear" w:pos="1080"/>
        </w:tabs>
        <w:outlineLvl w:val="2"/>
      </w:pPr>
      <w:bookmarkStart w:id="305" w:name="_Toc182409686"/>
      <w:r>
        <w:t>Azure Machine Learning</w:t>
      </w:r>
      <w:bookmarkEnd w:id="305"/>
    </w:p>
    <w:p w14:paraId="0544D758" w14:textId="3AD85D91" w:rsidR="00AD6527" w:rsidRPr="00AD6527" w:rsidRDefault="00EE6E3C" w:rsidP="00F01ED6">
      <w:pPr>
        <w:pStyle w:val="ProductList-Body"/>
        <w:rPr>
          <w:b/>
          <w:bCs/>
          <w:color w:val="00188F"/>
        </w:rPr>
      </w:pPr>
      <w:r>
        <w:rPr>
          <w:b/>
          <w:bCs/>
          <w:color w:val="00188F"/>
        </w:rPr>
        <w:t>Cálculo do Período de Disponibilidade e Níveis de Serviço para a Classificação em Tempo Real do Machine Learning</w:t>
      </w:r>
    </w:p>
    <w:p w14:paraId="3D05F60E" w14:textId="4AC9D686"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7EA32AA0" w14:textId="7A5AE360" w:rsidR="00AD6527" w:rsidRDefault="00380305" w:rsidP="00F01ED6">
      <w:pPr>
        <w:pStyle w:val="ProductList-Body"/>
      </w:pPr>
      <w:r>
        <w:t>“</w:t>
      </w:r>
      <w:r w:rsidR="00AD6527">
        <w:rPr>
          <w:b/>
          <w:bCs/>
          <w:color w:val="00188F"/>
        </w:rPr>
        <w:t>Transações Falhadas</w:t>
      </w:r>
      <w:r>
        <w:t>”</w:t>
      </w:r>
      <w:r w:rsidR="00AD6527">
        <w:t xml:space="preserve"> é o conjunto de todos os pedidos de Tentativas de Transação que devolvem um Código de Erro ou um código de estado HTTP 4xx ou uma falha em devolver um Código de Êxito num prazo de 600 segundos.</w:t>
      </w:r>
    </w:p>
    <w:p w14:paraId="2C7AAE71" w14:textId="65361CE5"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4A63CAC2" w14:textId="7764EDD1" w:rsidR="00AD6527" w:rsidRPr="00EF7CF9" w:rsidRDefault="00000000" w:rsidP="009B6B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 Classificação em Tempo Real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19E054"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F01ED6">
            <w:pPr>
              <w:pStyle w:val="ProductList-OfferingBody"/>
              <w:jc w:val="center"/>
            </w:pPr>
            <w:r>
              <w:t>&lt; 99,9%</w:t>
            </w:r>
          </w:p>
        </w:tc>
        <w:tc>
          <w:tcPr>
            <w:tcW w:w="5400" w:type="dxa"/>
          </w:tcPr>
          <w:p w14:paraId="6EE66041" w14:textId="77777777" w:rsidR="00A63636" w:rsidRPr="00EF7CF9" w:rsidRDefault="00A63636" w:rsidP="00F01ED6">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F01ED6">
            <w:pPr>
              <w:pStyle w:val="ProductList-OfferingBody"/>
              <w:jc w:val="center"/>
            </w:pPr>
            <w:r>
              <w:t>&lt; 99%</w:t>
            </w:r>
          </w:p>
        </w:tc>
        <w:tc>
          <w:tcPr>
            <w:tcW w:w="5400" w:type="dxa"/>
          </w:tcPr>
          <w:p w14:paraId="743B5AA1" w14:textId="77777777" w:rsidR="00A63636" w:rsidRPr="00EF7CF9" w:rsidRDefault="00A63636" w:rsidP="00F01ED6">
            <w:pPr>
              <w:pStyle w:val="ProductList-OfferingBody"/>
              <w:jc w:val="center"/>
            </w:pPr>
            <w:r>
              <w:t>25%</w:t>
            </w:r>
          </w:p>
        </w:tc>
      </w:tr>
    </w:tbl>
    <w:p w14:paraId="084EC24C" w14:textId="4E8D96CC" w:rsidR="00AD6527" w:rsidRPr="00A63636" w:rsidRDefault="00EE6E3C" w:rsidP="00011653">
      <w:pPr>
        <w:pStyle w:val="ProductList-Body"/>
        <w:spacing w:before="120"/>
        <w:rPr>
          <w:b/>
          <w:bCs/>
          <w:color w:val="00188F"/>
        </w:rPr>
      </w:pPr>
      <w:r>
        <w:rPr>
          <w:b/>
          <w:bCs/>
          <w:color w:val="00188F"/>
        </w:rPr>
        <w:t>Cálculo do Período de Disponibilidade e Níveis de Serviço para Gestão de Computação do Machine Learning</w:t>
      </w:r>
    </w:p>
    <w:p w14:paraId="508098E1" w14:textId="248CC981"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6FE8B9C6" w14:textId="0748E631" w:rsidR="00AD6527" w:rsidRDefault="00380305" w:rsidP="00F01ED6">
      <w:pPr>
        <w:pStyle w:val="ProductList-Body"/>
      </w:pPr>
      <w:r>
        <w:t>“</w:t>
      </w:r>
      <w:r w:rsidR="00AD6527">
        <w:rPr>
          <w:b/>
          <w:bCs/>
          <w:color w:val="00188F"/>
        </w:rPr>
        <w:t>Transações Falhadas</w:t>
      </w:r>
      <w:r>
        <w:t>”</w:t>
      </w:r>
      <w:r w:rsidR="00AD6527">
        <w:t xml:space="preserve"> é o conjunto de todos os pedidos no Total de Pedidos que devolvem um Código de Erro ou um código de estado HTTP 408 ou uma falha em devolver um Código de Êxito num prazo de 30 segundos.</w:t>
      </w:r>
    </w:p>
    <w:p w14:paraId="02C4F9FC" w14:textId="155466EF"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w:t>
      </w:r>
      <w:r w:rsidR="00FE3A87">
        <w:t> </w:t>
      </w:r>
      <w:r w:rsidR="00AD6527">
        <w:t>Total de Tentativas de Transação num Período Aplicável para uma determinada subscrição do Microsoft Azure. A Percentagem de Período de</w:t>
      </w:r>
      <w:r w:rsidR="00FE3A87">
        <w:t> </w:t>
      </w:r>
      <w:r w:rsidR="00AD6527">
        <w:t>Disponibilidade é representada pela seguinte fórmula:</w:t>
      </w:r>
    </w:p>
    <w:p w14:paraId="4A36D646" w14:textId="0F82D9AF" w:rsidR="00A63636" w:rsidRPr="00EF7CF9" w:rsidRDefault="00000000" w:rsidP="00ED65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das Operações do Plano de Gestão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A1B0EE"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F01ED6">
            <w:pPr>
              <w:pStyle w:val="ProductList-OfferingBody"/>
              <w:jc w:val="center"/>
            </w:pPr>
            <w:r>
              <w:t>&lt; 99,9%</w:t>
            </w:r>
          </w:p>
        </w:tc>
        <w:tc>
          <w:tcPr>
            <w:tcW w:w="5400" w:type="dxa"/>
          </w:tcPr>
          <w:p w14:paraId="1C85C580" w14:textId="77777777" w:rsidR="00A63636" w:rsidRPr="00EF7CF9" w:rsidRDefault="00A63636" w:rsidP="00F01ED6">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F01ED6">
            <w:pPr>
              <w:pStyle w:val="ProductList-OfferingBody"/>
              <w:jc w:val="center"/>
            </w:pPr>
            <w:r>
              <w:t>&lt; 99%</w:t>
            </w:r>
          </w:p>
        </w:tc>
        <w:tc>
          <w:tcPr>
            <w:tcW w:w="5400" w:type="dxa"/>
          </w:tcPr>
          <w:p w14:paraId="45D823FB" w14:textId="77777777" w:rsidR="00A63636" w:rsidRPr="00EF7CF9" w:rsidRDefault="00A63636" w:rsidP="00F01ED6">
            <w:pPr>
              <w:pStyle w:val="ProductList-OfferingBody"/>
              <w:jc w:val="center"/>
            </w:pPr>
            <w:r>
              <w:t>25%</w:t>
            </w:r>
          </w:p>
        </w:tc>
      </w:tr>
    </w:tbl>
    <w:bookmarkStart w:id="306" w:name="_Toc412532194"/>
    <w:bookmarkStart w:id="307" w:name="_Toc457821557"/>
    <w:bookmarkStart w:id="308" w:name="_Toc52348964"/>
    <w:bookmarkStart w:id="309" w:name="MachineLearningStudio_BES"/>
    <w:p w14:paraId="71E7821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4BC9938" w14:textId="77777777" w:rsidR="00F91892" w:rsidRPr="006F3CBD" w:rsidRDefault="00F91892" w:rsidP="00F01ED6">
      <w:pPr>
        <w:pStyle w:val="ProductList-Offering2Heading"/>
        <w:keepNext/>
        <w:tabs>
          <w:tab w:val="clear" w:pos="360"/>
          <w:tab w:val="clear" w:pos="720"/>
          <w:tab w:val="clear" w:pos="1080"/>
        </w:tabs>
        <w:outlineLvl w:val="2"/>
        <w:rPr>
          <w:lang w:val="en-IN"/>
        </w:rPr>
      </w:pPr>
      <w:bookmarkStart w:id="310" w:name="_Toc182409687"/>
      <w:r w:rsidRPr="006F3CBD">
        <w:rPr>
          <w:lang w:val="en-IN"/>
        </w:rPr>
        <w:t>Azure Machine Learning Studio (clássico)</w:t>
      </w:r>
      <w:bookmarkEnd w:id="306"/>
      <w:bookmarkEnd w:id="307"/>
      <w:bookmarkEnd w:id="308"/>
      <w:bookmarkEnd w:id="310"/>
    </w:p>
    <w:bookmarkEnd w:id="309"/>
    <w:p w14:paraId="624ECCAA" w14:textId="4F0B9E01" w:rsidR="00F91892" w:rsidRDefault="00EE6E3C" w:rsidP="00F01ED6">
      <w:pPr>
        <w:pStyle w:val="ProductList-Body"/>
        <w:rPr>
          <w:b/>
          <w:color w:val="00188F"/>
        </w:rPr>
      </w:pPr>
      <w:r>
        <w:rPr>
          <w:b/>
          <w:color w:val="00188F"/>
        </w:rPr>
        <w:t>Cálculo do Período de Disponibilidade e Níveis de Serviço para o Serviço de Resposta ao Pedido (RRS) do Machine Learning Studio</w:t>
      </w:r>
    </w:p>
    <w:p w14:paraId="040E6F00" w14:textId="77777777" w:rsidR="00F91892" w:rsidRPr="00EF7CF9" w:rsidRDefault="00F91892" w:rsidP="00F01ED6">
      <w:pPr>
        <w:pStyle w:val="ProductList-Body"/>
      </w:pPr>
      <w:r>
        <w:rPr>
          <w:b/>
          <w:color w:val="00188F"/>
        </w:rPr>
        <w:t>Definições Adicionais</w:t>
      </w:r>
      <w:r w:rsidRPr="00473DD3">
        <w:rPr>
          <w:b/>
          <w:color w:val="00188F"/>
        </w:rPr>
        <w:t>:</w:t>
      </w:r>
    </w:p>
    <w:p w14:paraId="38C5134A" w14:textId="06589F43" w:rsidR="00F91892" w:rsidRPr="00EF7CF9" w:rsidRDefault="00380305" w:rsidP="00F01ED6">
      <w:pPr>
        <w:pStyle w:val="ProductList-Body"/>
        <w:spacing w:after="40"/>
      </w:pPr>
      <w:r>
        <w:t>“</w:t>
      </w:r>
      <w:r w:rsidR="00F91892">
        <w:rPr>
          <w:b/>
          <w:color w:val="00188F"/>
        </w:rPr>
        <w:t>Transações com Falha</w:t>
      </w:r>
      <w:r>
        <w:t>”</w:t>
      </w:r>
      <w:r w:rsidR="00F91892">
        <w:t xml:space="preserve"> é o conjunto de todos os pedidos no Total de Tentativas de Transação que devolvem um Código de Erro.</w:t>
      </w:r>
    </w:p>
    <w:p w14:paraId="7B81D1E0" w14:textId="5E630D5A" w:rsidR="00F91892" w:rsidRPr="00EF7CF9" w:rsidRDefault="00380305" w:rsidP="00F01ED6">
      <w:pPr>
        <w:pStyle w:val="ProductList-Body"/>
      </w:pPr>
      <w:r>
        <w:t>“</w:t>
      </w:r>
      <w:r w:rsidR="00F91892">
        <w:rPr>
          <w:b/>
          <w:color w:val="00188F"/>
        </w:rPr>
        <w:t>Total de Tentativas de Transação</w:t>
      </w:r>
      <w:r>
        <w:t>”</w:t>
      </w:r>
      <w:r w:rsidR="00F91892">
        <w:t xml:space="preserve"> é o número total de pedidos da API RRS REST autenticados efetuado pelo Cliente durante um Período Aplicável</w:t>
      </w:r>
      <w:r w:rsidR="007B6604">
        <w:t> </w:t>
      </w:r>
      <w:r w:rsidR="00F91892">
        <w:t>para uma determinada subscrição do Microsoft Azure.</w:t>
      </w:r>
    </w:p>
    <w:p w14:paraId="3E5D6FF7" w14:textId="0C713DB3" w:rsidR="00F91892" w:rsidRPr="00EF7CF9" w:rsidRDefault="00AC48A7" w:rsidP="00F01ED6">
      <w:pPr>
        <w:pStyle w:val="ProductList-Body"/>
      </w:pPr>
      <w:r>
        <w:rPr>
          <w:b/>
          <w:color w:val="00188F"/>
        </w:rPr>
        <w:t>Percentagem de Período de Disponibilidade</w:t>
      </w:r>
      <w:r w:rsidRPr="00F166D0">
        <w:rPr>
          <w:b/>
          <w:color w:val="00188F"/>
        </w:rPr>
        <w:t>:</w:t>
      </w:r>
      <w:r>
        <w:t xml:space="preserve"> A Percentagem de Período de Disponibilidade é calculada através da seguinte fórmula:</w:t>
      </w:r>
    </w:p>
    <w:p w14:paraId="219D3EA8" w14:textId="77777777" w:rsidR="00F91892" w:rsidRPr="00EF7CF9" w:rsidRDefault="00F91892" w:rsidP="00F01ED6">
      <w:pPr>
        <w:pStyle w:val="ProductList-Body"/>
      </w:pPr>
    </w:p>
    <w:p w14:paraId="28798A66" w14:textId="12D4D33E" w:rsidR="00F91892" w:rsidRPr="00EF7CF9" w:rsidRDefault="00000000"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1C1F84" w:rsidRDefault="00F91892" w:rsidP="005E5DC2">
      <w:pPr>
        <w:pStyle w:val="ProductList-Body"/>
        <w:keepNext/>
        <w:keepLines/>
        <w:rPr>
          <w:color w:val="00188F"/>
          <w:spacing w:val="-2"/>
        </w:rPr>
      </w:pPr>
      <w:r w:rsidRPr="001C1F84">
        <w:rPr>
          <w:b/>
          <w:color w:val="00188F"/>
          <w:spacing w:val="-2"/>
        </w:rPr>
        <w:t>Os seguintes Níveis de Serviço e Créditos de Serviço são aplicáveis à utilização que o Cliente faz do Serviço da API RRS do Machine Learning Studio</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91DD44" w14:textId="77777777" w:rsidR="00F91892" w:rsidRPr="00EF7CF9" w:rsidRDefault="00F91892" w:rsidP="00F01ED6">
            <w:pPr>
              <w:pStyle w:val="ProductList-OfferingBody"/>
              <w:jc w:val="center"/>
              <w:rPr>
                <w:color w:val="FFFFFF" w:themeColor="background1"/>
              </w:rPr>
            </w:pPr>
            <w:r>
              <w:rPr>
                <w:color w:val="FFFFFF" w:themeColor="background1"/>
              </w:rPr>
              <w:t>Crédito de Serviço</w:t>
            </w:r>
          </w:p>
        </w:tc>
      </w:tr>
      <w:tr w:rsidR="00F91892" w:rsidRPr="00B44CF9" w14:paraId="27DC423D" w14:textId="77777777" w:rsidTr="00277097">
        <w:tc>
          <w:tcPr>
            <w:tcW w:w="5400" w:type="dxa"/>
          </w:tcPr>
          <w:p w14:paraId="22BA838B" w14:textId="77777777" w:rsidR="00F91892" w:rsidRPr="00EF7CF9" w:rsidRDefault="00F91892" w:rsidP="00F01ED6">
            <w:pPr>
              <w:pStyle w:val="ProductList-OfferingBody"/>
              <w:jc w:val="center"/>
            </w:pPr>
            <w:r>
              <w:t>&lt; 99,95%</w:t>
            </w:r>
          </w:p>
        </w:tc>
        <w:tc>
          <w:tcPr>
            <w:tcW w:w="5400" w:type="dxa"/>
          </w:tcPr>
          <w:p w14:paraId="685534EC" w14:textId="77777777" w:rsidR="00F91892" w:rsidRPr="00EF7CF9" w:rsidRDefault="00F91892" w:rsidP="00F01ED6">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F01ED6">
            <w:pPr>
              <w:pStyle w:val="ProductList-OfferingBody"/>
              <w:jc w:val="center"/>
            </w:pPr>
            <w:r>
              <w:t>&lt; 99%</w:t>
            </w:r>
          </w:p>
        </w:tc>
        <w:tc>
          <w:tcPr>
            <w:tcW w:w="5400" w:type="dxa"/>
          </w:tcPr>
          <w:p w14:paraId="599C29DF" w14:textId="77777777" w:rsidR="00F91892" w:rsidRPr="00EF7CF9" w:rsidRDefault="00F91892" w:rsidP="00F01ED6">
            <w:pPr>
              <w:pStyle w:val="ProductList-OfferingBody"/>
              <w:jc w:val="center"/>
            </w:pPr>
            <w:r>
              <w:t>25%</w:t>
            </w:r>
          </w:p>
        </w:tc>
      </w:tr>
    </w:tbl>
    <w:p w14:paraId="73EB794C" w14:textId="77777777" w:rsidR="00F91892" w:rsidRDefault="00F91892" w:rsidP="00F01ED6">
      <w:pPr>
        <w:pStyle w:val="ProductList-Body"/>
      </w:pPr>
    </w:p>
    <w:p w14:paraId="2B9959CA" w14:textId="3AE3FBEC" w:rsidR="00F91892" w:rsidRPr="00ED4527" w:rsidRDefault="00EE6E3C" w:rsidP="00F01ED6">
      <w:pPr>
        <w:pStyle w:val="ProductList-Body"/>
        <w:rPr>
          <w:b/>
          <w:bCs/>
          <w:color w:val="00188F"/>
        </w:rPr>
      </w:pPr>
      <w:r>
        <w:rPr>
          <w:b/>
          <w:bCs/>
          <w:color w:val="00188F"/>
        </w:rPr>
        <w:t>Cálculo do Período de Disponibilidade e Níveis de Serviço para o Serviço de Execução em Batch (BES) do Machine Learning Studio e do Serviço de APIs de Gestão</w:t>
      </w:r>
    </w:p>
    <w:p w14:paraId="3516538E" w14:textId="77777777" w:rsidR="00F91892" w:rsidRPr="00EF7CF9" w:rsidRDefault="00F91892" w:rsidP="00F01ED6">
      <w:pPr>
        <w:pStyle w:val="ProductList-Body"/>
      </w:pPr>
      <w:r>
        <w:rPr>
          <w:b/>
          <w:color w:val="00188F"/>
        </w:rPr>
        <w:t>Definições Adicionais</w:t>
      </w:r>
      <w:r w:rsidRPr="00473DD3">
        <w:rPr>
          <w:b/>
          <w:color w:val="00188F"/>
        </w:rPr>
        <w:t>:</w:t>
      </w:r>
    </w:p>
    <w:p w14:paraId="349038C4" w14:textId="24D3BB7C" w:rsidR="00F91892" w:rsidRPr="00EF7CF9" w:rsidRDefault="00380305" w:rsidP="00F01ED6">
      <w:pPr>
        <w:pStyle w:val="ProductList-Body"/>
        <w:spacing w:after="40"/>
      </w:pPr>
      <w:r>
        <w:t>“</w:t>
      </w:r>
      <w:r w:rsidR="00F91892">
        <w:rPr>
          <w:b/>
          <w:color w:val="00188F"/>
        </w:rPr>
        <w:t>Transações com Falha</w:t>
      </w:r>
      <w:r>
        <w:t>”</w:t>
      </w:r>
      <w:r w:rsidR="00F91892">
        <w:t xml:space="preserve"> é o conjunto de todos os pedidos no Total de Tentativas de Transação que devolvem um Código de Erro.</w:t>
      </w:r>
    </w:p>
    <w:p w14:paraId="1BDE8A4D" w14:textId="00DD159B" w:rsidR="00F91892" w:rsidRPr="00EF7CF9" w:rsidRDefault="00380305" w:rsidP="00F01ED6">
      <w:pPr>
        <w:pStyle w:val="ProductList-Body"/>
      </w:pPr>
      <w:r>
        <w:t>“</w:t>
      </w:r>
      <w:r w:rsidR="00F91892">
        <w:rPr>
          <w:b/>
          <w:color w:val="00188F"/>
        </w:rPr>
        <w:t>Total de Tentativas de Transação</w:t>
      </w:r>
      <w:r>
        <w:t>”</w:t>
      </w:r>
      <w:r w:rsidR="00F91892">
        <w:t xml:space="preserve"> é o número total de pedidos da API de Gestão e BES REST autenticados efetuado pelo Cliente durante um</w:t>
      </w:r>
      <w:r w:rsidR="003F5377">
        <w:t> </w:t>
      </w:r>
      <w:r w:rsidR="00F91892">
        <w:t>Período Aplicável para uma determinada subscrição do Microsoft Azure.</w:t>
      </w:r>
    </w:p>
    <w:p w14:paraId="436C704F" w14:textId="64CD5548" w:rsidR="00F91892"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21D535A" w14:textId="77777777" w:rsidR="00F91892" w:rsidRPr="00EF7CF9" w:rsidRDefault="00F91892" w:rsidP="00F01ED6">
      <w:pPr>
        <w:pStyle w:val="ProductList-Body"/>
      </w:pPr>
    </w:p>
    <w:p w14:paraId="2A137691" w14:textId="46103CB1" w:rsidR="00F91892" w:rsidRPr="00EF7CF9" w:rsidRDefault="00000000"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F01ED6">
      <w:pPr>
        <w:pStyle w:val="ProductList-Body"/>
      </w:pPr>
      <w:r>
        <w:rPr>
          <w:b/>
          <w:color w:val="00188F"/>
        </w:rPr>
        <w:t>Os seguintes Níveis de Serviço e Créditos de Serviço são aplicáveis à utilização que o Cliente faz do Serviço da API de Gestão e BES do Machine Learning Studio</w:t>
      </w:r>
      <w:r w:rsidRPr="00473DD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946C" w14:textId="77777777" w:rsidR="00F91892" w:rsidRPr="00EF7CF9" w:rsidRDefault="00F91892" w:rsidP="00F01ED6">
            <w:pPr>
              <w:pStyle w:val="ProductList-OfferingBody"/>
              <w:jc w:val="center"/>
              <w:rPr>
                <w:color w:val="FFFFFF" w:themeColor="background1"/>
              </w:rPr>
            </w:pPr>
            <w:r>
              <w:rPr>
                <w:color w:val="FFFFFF" w:themeColor="background1"/>
              </w:rPr>
              <w:t>Crédito de Serviço</w:t>
            </w:r>
          </w:p>
        </w:tc>
      </w:tr>
      <w:tr w:rsidR="00F91892" w:rsidRPr="00B44CF9" w14:paraId="4214EECC" w14:textId="77777777" w:rsidTr="00277097">
        <w:tc>
          <w:tcPr>
            <w:tcW w:w="5400" w:type="dxa"/>
          </w:tcPr>
          <w:p w14:paraId="708F7A89" w14:textId="77777777" w:rsidR="00F91892" w:rsidRPr="00EF7CF9" w:rsidRDefault="00F91892" w:rsidP="00F01ED6">
            <w:pPr>
              <w:pStyle w:val="ProductList-OfferingBody"/>
              <w:jc w:val="center"/>
            </w:pPr>
            <w:r>
              <w:t>&lt; 99,9%</w:t>
            </w:r>
          </w:p>
        </w:tc>
        <w:tc>
          <w:tcPr>
            <w:tcW w:w="5400" w:type="dxa"/>
          </w:tcPr>
          <w:p w14:paraId="4B5CCC42" w14:textId="77777777" w:rsidR="00F91892" w:rsidRPr="00EF7CF9" w:rsidRDefault="00F91892" w:rsidP="00F01ED6">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F01ED6">
            <w:pPr>
              <w:pStyle w:val="ProductList-OfferingBody"/>
              <w:jc w:val="center"/>
            </w:pPr>
            <w:r>
              <w:t>&lt; 99%</w:t>
            </w:r>
          </w:p>
        </w:tc>
        <w:tc>
          <w:tcPr>
            <w:tcW w:w="5400" w:type="dxa"/>
          </w:tcPr>
          <w:p w14:paraId="51F5B05B" w14:textId="77777777" w:rsidR="00F91892" w:rsidRPr="00EF7CF9" w:rsidRDefault="00F91892" w:rsidP="00F01ED6">
            <w:pPr>
              <w:pStyle w:val="ProductList-OfferingBody"/>
              <w:jc w:val="center"/>
            </w:pPr>
            <w:r>
              <w:t>25%</w:t>
            </w:r>
          </w:p>
        </w:tc>
      </w:tr>
    </w:tbl>
    <w:bookmarkStart w:id="311" w:name="_Toc136456117"/>
    <w:p w14:paraId="22060E5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6B9017" w14:textId="31CEA1F5" w:rsidR="00354321" w:rsidRDefault="001D6A79" w:rsidP="00F01ED6">
      <w:pPr>
        <w:pStyle w:val="ProductList-Offering2Heading"/>
        <w:tabs>
          <w:tab w:val="clear" w:pos="360"/>
        </w:tabs>
        <w:outlineLvl w:val="2"/>
      </w:pPr>
      <w:bookmarkStart w:id="312" w:name="_Toc182409688"/>
      <w:r>
        <w:t>Azure Managed Grafana</w:t>
      </w:r>
      <w:bookmarkEnd w:id="312"/>
    </w:p>
    <w:p w14:paraId="581F7A2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9B5FEC">
        <w:rPr>
          <w:rFonts w:ascii="Calibri" w:eastAsia="Calibri" w:hAnsi="Calibri" w:cs="Arial"/>
          <w:b/>
          <w:bCs/>
          <w:sz w:val="18"/>
        </w:rPr>
        <w:t>:</w:t>
      </w:r>
    </w:p>
    <w:p w14:paraId="4A9E90DF"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designa uma implementação de um ou mais servidores Grafana.</w:t>
      </w:r>
    </w:p>
    <w:p w14:paraId="40289F44"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Período de Disponibilidade Mensal e Níveis de Serviço para o Azure Managed Grafana</w:t>
      </w:r>
    </w:p>
    <w:p w14:paraId="7172CEE3"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Implementação</w:t>
      </w:r>
      <w:r>
        <w:rPr>
          <w:rFonts w:ascii="Calibri" w:eastAsia="Calibri" w:hAnsi="Calibri" w:cs="Arial"/>
          <w:sz w:val="18"/>
        </w:rPr>
        <w:t>” designa o número total de minutos durante os quais uma determinada Área de Trabalho esteve em execução no Microsoft Azure durante um mês de faturação.</w:t>
      </w:r>
    </w:p>
    <w:p w14:paraId="5C77DCD7"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designa a soma de todos os Minutos de Implementação em todos as Áreas de Trabalho implementadas pelo Cliente numa determinada subscrição do Microsoft Azure num mês de faturação.</w:t>
      </w:r>
    </w:p>
    <w:p w14:paraId="7D60000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Período de Indisponibilidade</w:t>
      </w:r>
      <w:r>
        <w:rPr>
          <w:rFonts w:ascii="Calibri" w:eastAsia="Calibri" w:hAnsi="Calibri" w:cs="Arial"/>
          <w:sz w:val="18"/>
        </w:rPr>
        <w:t>” designa a soma de todos os Minutos de Implementação, em todas as Áreas de Trabalho implementadas pelo Cliente numa determinada subscrição do Microsoft Azure, durante um mês de faturação no qual a Área de Trabalho está indisponível. Um minuto é considerado indisponível para uma determinada Área de Trabalho se todos os pedidos de HTTP contínuos para executar operações nesse minuto resultarem num Código de Erro ou se não devolverem uma resposta.</w:t>
      </w:r>
    </w:p>
    <w:p w14:paraId="66EE7AF6" w14:textId="77777777" w:rsidR="00576F3A" w:rsidRPr="00616092" w:rsidRDefault="00576F3A" w:rsidP="00576F3A">
      <w:pPr>
        <w:tabs>
          <w:tab w:val="left" w:pos="360"/>
          <w:tab w:val="left" w:pos="720"/>
          <w:tab w:val="left" w:pos="1080"/>
        </w:tabs>
        <w:spacing w:after="0" w:line="240" w:lineRule="auto"/>
        <w:rPr>
          <w:rFonts w:ascii="Calibri" w:eastAsia="Calibri" w:hAnsi="Calibri" w:cs="Calibri"/>
          <w:sz w:val="18"/>
          <w:szCs w:val="18"/>
        </w:rPr>
      </w:pPr>
      <w:r w:rsidRPr="00616092">
        <w:rPr>
          <w:rFonts w:ascii="Calibri" w:hAnsi="Calibri" w:cs="Calibri"/>
          <w:sz w:val="18"/>
          <w:szCs w:val="18"/>
        </w:rPr>
        <w:t xml:space="preserve">A </w:t>
      </w:r>
      <w:r w:rsidRPr="00616092">
        <w:rPr>
          <w:rFonts w:ascii="Calibri" w:eastAsia="Calibri" w:hAnsi="Calibri" w:cs="Calibri"/>
          <w:sz w:val="18"/>
          <w:szCs w:val="18"/>
        </w:rPr>
        <w:t>“</w:t>
      </w:r>
      <w:r w:rsidRPr="00616092">
        <w:rPr>
          <w:rFonts w:ascii="Calibri" w:eastAsia="Calibri" w:hAnsi="Calibri" w:cs="Calibri"/>
          <w:b/>
          <w:color w:val="00188F"/>
          <w:sz w:val="18"/>
          <w:szCs w:val="18"/>
        </w:rPr>
        <w:t>Percentagem de Período de Disponibilidade Mensal</w:t>
      </w:r>
      <w:r w:rsidRPr="00616092">
        <w:rPr>
          <w:rFonts w:ascii="Calibri" w:eastAsia="Calibri" w:hAnsi="Calibri" w:cs="Calibri"/>
          <w:sz w:val="18"/>
          <w:szCs w:val="18"/>
        </w:rPr>
        <w:t>” para o Azure Managed Grafana é calculada como o Máximo de Minutos Disponíveis menos o Período de Indisponibilidade a dividir pelo Máximo de Minutos Disponíveis. A Percentagem de Período de Disponibilidade Mensal é representada pela seguinte fórmula:</w:t>
      </w:r>
    </w:p>
    <w:p w14:paraId="65F02EF8"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p>
    <w:p w14:paraId="4A46C6BF" w14:textId="77777777" w:rsidR="00576F3A" w:rsidRPr="009F364A" w:rsidRDefault="00000000" w:rsidP="00576F3A">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8436162"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p>
    <w:p w14:paraId="6BFBB7D4" w14:textId="77777777" w:rsidR="00576F3A" w:rsidRPr="00576F3A" w:rsidRDefault="00576F3A" w:rsidP="00576F3A">
      <w:pPr>
        <w:tabs>
          <w:tab w:val="left" w:pos="360"/>
          <w:tab w:val="left" w:pos="720"/>
          <w:tab w:val="left" w:pos="1080"/>
        </w:tabs>
        <w:spacing w:after="0" w:line="240" w:lineRule="auto"/>
        <w:rPr>
          <w:b/>
          <w:color w:val="00188F"/>
          <w:sz w:val="18"/>
        </w:rPr>
      </w:pPr>
      <w:r w:rsidRPr="00576F3A">
        <w:rPr>
          <w:b/>
          <w:color w:val="00188F"/>
          <w:sz w:val="18"/>
        </w:rPr>
        <w:t>Os seguintes Níveis de Serviço e Créditos de Serviço são aplicáveis à utilização que o Cliente faz do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76F3A" w:rsidRPr="009F364A" w14:paraId="7D252C23" w14:textId="77777777" w:rsidTr="006F6E13">
        <w:trPr>
          <w:tblHeader/>
        </w:trPr>
        <w:tc>
          <w:tcPr>
            <w:tcW w:w="2500" w:type="pct"/>
            <w:shd w:val="clear" w:color="auto" w:fill="0072C6"/>
          </w:tcPr>
          <w:p w14:paraId="32C827F1"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Mensal</w:t>
            </w:r>
          </w:p>
        </w:tc>
        <w:tc>
          <w:tcPr>
            <w:tcW w:w="2500" w:type="pct"/>
            <w:shd w:val="clear" w:color="auto" w:fill="0072C6"/>
          </w:tcPr>
          <w:p w14:paraId="43B11FFE"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576F3A" w:rsidRPr="009F364A" w14:paraId="332F9267" w14:textId="77777777" w:rsidTr="006F6E13">
        <w:tc>
          <w:tcPr>
            <w:tcW w:w="2500" w:type="pct"/>
          </w:tcPr>
          <w:p w14:paraId="161B24E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A63012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76F3A" w:rsidRPr="009F364A" w14:paraId="6BC01570" w14:textId="77777777" w:rsidTr="006F6E13">
        <w:tc>
          <w:tcPr>
            <w:tcW w:w="2500" w:type="pct"/>
          </w:tcPr>
          <w:p w14:paraId="43104878"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62B8EF45"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EA28697" w14:textId="77777777" w:rsidR="00576F3A" w:rsidRPr="00EF7CF9" w:rsidRDefault="00576F3A" w:rsidP="00576F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8630501" w14:textId="429DCA6D" w:rsidR="00B22605" w:rsidRDefault="00B22605" w:rsidP="00F01ED6">
      <w:pPr>
        <w:pStyle w:val="ProductList-Offering2Heading"/>
        <w:tabs>
          <w:tab w:val="clear" w:pos="360"/>
        </w:tabs>
        <w:outlineLvl w:val="2"/>
      </w:pPr>
      <w:bookmarkStart w:id="313" w:name="_Toc182409689"/>
      <w:r>
        <w:t>Azure Managed Instance para Apache Cassandra</w:t>
      </w:r>
      <w:bookmarkEnd w:id="311"/>
      <w:bookmarkEnd w:id="313"/>
    </w:p>
    <w:p w14:paraId="19C3C8E3" w14:textId="77777777" w:rsidR="00B22605" w:rsidRDefault="00B22605" w:rsidP="00F01ED6">
      <w:pPr>
        <w:pStyle w:val="ProductList-Body"/>
      </w:pPr>
      <w:r>
        <w:rPr>
          <w:b/>
          <w:color w:val="00188F"/>
        </w:rPr>
        <w:t>Definições Adicionais</w:t>
      </w:r>
      <w:r w:rsidRPr="00473DD3">
        <w:rPr>
          <w:b/>
          <w:color w:val="00188F"/>
        </w:rPr>
        <w:t>:</w:t>
      </w:r>
    </w:p>
    <w:p w14:paraId="06FE77EC" w14:textId="7B55CD6E" w:rsidR="00B22605" w:rsidRPr="001C1F84" w:rsidRDefault="00380305" w:rsidP="00F01ED6">
      <w:pPr>
        <w:pStyle w:val="ProductList-Body"/>
        <w:rPr>
          <w:spacing w:val="-3"/>
        </w:rPr>
      </w:pPr>
      <w:r>
        <w:rPr>
          <w:spacing w:val="-3"/>
        </w:rPr>
        <w:t>“</w:t>
      </w:r>
      <w:r w:rsidR="00B22605" w:rsidRPr="001C1F84">
        <w:rPr>
          <w:b/>
          <w:color w:val="00188F"/>
          <w:spacing w:val="-3"/>
        </w:rPr>
        <w:t>Zona de Disponibilidade</w:t>
      </w:r>
      <w:r>
        <w:rPr>
          <w:spacing w:val="-3"/>
        </w:rPr>
        <w:t>”</w:t>
      </w:r>
      <w:r w:rsidR="00B22605" w:rsidRPr="001C1F84">
        <w:rPr>
          <w:spacing w:val="-3"/>
        </w:rPr>
        <w:t xml:space="preserve"> designa uma área isolada de falhas numa região do Azure que providencia alimentação, refrigeração e rede redundantes.</w:t>
      </w:r>
    </w:p>
    <w:p w14:paraId="6B4B48D6" w14:textId="089EEFF1" w:rsidR="00B22605" w:rsidRDefault="00380305" w:rsidP="00F01ED6">
      <w:pPr>
        <w:pStyle w:val="ProductList-Body"/>
      </w:pPr>
      <w:r>
        <w:t>“</w:t>
      </w:r>
      <w:r w:rsidR="00B22605">
        <w:rPr>
          <w:b/>
          <w:color w:val="00188F"/>
        </w:rPr>
        <w:t>Centro de Dados Cassandra</w:t>
      </w:r>
      <w:r>
        <w:t>”</w:t>
      </w:r>
      <w:r w:rsidR="00B22605">
        <w:t xml:space="preserve"> designa três ou mais Nós implementados numa região através do Azure Managed Instance para Apache Cassandra com uma configuração comum e o nome do Centro de Dados Cassandra.</w:t>
      </w:r>
    </w:p>
    <w:p w14:paraId="42362B1C" w14:textId="3CB463B3" w:rsidR="00B22605" w:rsidRDefault="00380305" w:rsidP="00F01ED6">
      <w:pPr>
        <w:pStyle w:val="ProductList-Body"/>
      </w:pPr>
      <w:r>
        <w:t>“</w:t>
      </w:r>
      <w:r w:rsidR="00B22605">
        <w:rPr>
          <w:b/>
          <w:color w:val="00188F"/>
        </w:rPr>
        <w:t>Nó</w:t>
      </w:r>
      <w:r>
        <w:t>”</w:t>
      </w:r>
      <w:r w:rsidR="00B22605">
        <w:t xml:space="preserve"> designa uma única máquina virtual implementada numa região através do Azure Managed Instance para Apache Cassandra.</w:t>
      </w:r>
    </w:p>
    <w:p w14:paraId="3320A445" w14:textId="5CFF9281" w:rsidR="00B22605" w:rsidRDefault="00380305" w:rsidP="00F01ED6">
      <w:pPr>
        <w:pStyle w:val="ProductList-Body"/>
      </w:pPr>
      <w:r>
        <w:t>“</w:t>
      </w:r>
      <w:r w:rsidR="00B22605">
        <w:rPr>
          <w:b/>
          <w:color w:val="00188F"/>
        </w:rPr>
        <w:t>Configuração de Rede Compatível</w:t>
      </w:r>
      <w:r>
        <w:t>”</w:t>
      </w:r>
      <w:r w:rsidR="00B22605">
        <w:t xml:space="preserve"> designa o conjunto completo de configurações necessárias da Rede Virtual do Microsoft Azure que aloja o</w:t>
      </w:r>
      <w:r w:rsidR="005E5DC2">
        <w:t> </w:t>
      </w:r>
      <w:r w:rsidR="00B22605">
        <w:t>Centro de Dados Cassandra, incluindo as regras de segurança de entrada do Grupo de Segurança de Rede do Microsoft Azure e as Redes Definidas pelo Utilizador obrigatórias do Microsoft Azure da Sub-rede da Rede Virtual do Microsoft Azure que aloja o Centro de Dados Cassandra, o</w:t>
      </w:r>
      <w:r w:rsidR="005E5DC2">
        <w:t> </w:t>
      </w:r>
      <w:r w:rsidR="00B22605">
        <w:t>que permite um fluxo ininterrupto do trânsito de gestão e o tráfego de dados para o gateway dedicado colocado na Sub-rede da Rede Virtual do Microsoft Azure Virtual que aloja o Centro de Dados Cassandra.</w:t>
      </w:r>
    </w:p>
    <w:p w14:paraId="064AAF68" w14:textId="77777777" w:rsidR="00B22605" w:rsidRDefault="00B22605" w:rsidP="00F01ED6">
      <w:pPr>
        <w:pStyle w:val="ProductList-Body"/>
      </w:pPr>
    </w:p>
    <w:p w14:paraId="7A37CF11" w14:textId="1F91BE2E" w:rsidR="00B22605" w:rsidRPr="00FC0DFA" w:rsidRDefault="00B22605" w:rsidP="00F01ED6">
      <w:pPr>
        <w:pStyle w:val="ProductList-Body"/>
        <w:rPr>
          <w:b/>
          <w:color w:val="00188F"/>
        </w:rPr>
      </w:pPr>
      <w:r>
        <w:rPr>
          <w:b/>
          <w:color w:val="00188F"/>
        </w:rPr>
        <w:t>Cálculo do Período de Disponibilidade e Níveis de Serviço para o Azure Managed Instance para Centros de Dados Cassandra</w:t>
      </w:r>
    </w:p>
    <w:p w14:paraId="4A0FB869" w14:textId="6FB65DFC" w:rsidR="00B22605" w:rsidRDefault="00380305" w:rsidP="00F01ED6">
      <w:pPr>
        <w:pStyle w:val="ProductList-Body"/>
      </w:pPr>
      <w:r>
        <w:t>“</w:t>
      </w:r>
      <w:r w:rsidR="00B22605">
        <w:rPr>
          <w:b/>
          <w:color w:val="00188F"/>
        </w:rPr>
        <w:t>Máximo de Minutos Disponíveis</w:t>
      </w:r>
      <w:r>
        <w:t>”</w:t>
      </w:r>
      <w:r w:rsidR="00B22605">
        <w:t xml:space="preserve"> designa o total de minutos acumulados durante um mês de faturação para todos os Centros de Dados Cassandra que têm três ou mais Nós implementados. O Máximo de Minutos Disponíveis é calculado a partir do momento em que pelo menos três Nós no mesmo Centro de Dados Cassandra foram iniciadas como resultado da ação iniciada pelo Cliente até ao momento em que o Cliente iniciou uma ação que resultaria na interrupção ou eliminação do Centro de Dados Cassandra.</w:t>
      </w:r>
    </w:p>
    <w:p w14:paraId="58226A16" w14:textId="78135504" w:rsidR="00B22605" w:rsidRDefault="00380305" w:rsidP="00F01ED6">
      <w:pPr>
        <w:pStyle w:val="ProductList-Body"/>
      </w:pPr>
      <w:r>
        <w:t>“</w:t>
      </w:r>
      <w:r w:rsidR="00B22605">
        <w:rPr>
          <w:b/>
          <w:color w:val="00188F"/>
        </w:rPr>
        <w:t>Período de Indisponibilidade</w:t>
      </w:r>
      <w:r>
        <w:t>”</w:t>
      </w:r>
      <w:r w:rsidR="00B22605">
        <w:t xml:space="preserve"> é o total de minutos acumulados que fazem parte do Máximo de Minutos Disponíveis que continuamente não têm conectividade para um quorum de Nós no Centro de Dados Cassandra numa região.</w:t>
      </w:r>
    </w:p>
    <w:p w14:paraId="3B4CB4F2" w14:textId="5D6B0B35" w:rsidR="00B22605" w:rsidRDefault="00B22605" w:rsidP="00F01ED6">
      <w:pPr>
        <w:pStyle w:val="ProductList-Body"/>
      </w:pPr>
      <w:r>
        <w:t xml:space="preserve">A </w:t>
      </w:r>
      <w:r w:rsidR="00380305">
        <w:t>“</w:t>
      </w:r>
      <w:r>
        <w:rPr>
          <w:b/>
          <w:color w:val="00188F"/>
        </w:rPr>
        <w:t>Percentagem de Período de Disponibilidade</w:t>
      </w:r>
      <w:r w:rsidR="00380305">
        <w:t>”</w:t>
      </w:r>
      <w:r>
        <w:t xml:space="preserve"> para Centros de Dados Cassandra é calculada como o Máximo de Minutos Disponíveis menos o</w:t>
      </w:r>
      <w:r w:rsidR="005E5DC2">
        <w:t> </w:t>
      </w:r>
      <w:r>
        <w:t>Período de Indisponibilidade a dividir pelo Máximo de Minutos Disponíveis num Período Aplicável para uma determinada subscrição do Microsoft Azure. A Percentagem de Período de Disponibilidade é representada pela seguinte fórmula:</w:t>
      </w:r>
    </w:p>
    <w:p w14:paraId="08C6716C" w14:textId="77777777" w:rsidR="00B22605" w:rsidRDefault="00B22605" w:rsidP="00F01ED6">
      <w:pPr>
        <w:pStyle w:val="ProductList-Body"/>
      </w:pPr>
    </w:p>
    <w:p w14:paraId="3FF9F6FA" w14:textId="0515E3BC" w:rsidR="00B22605"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F01ED6">
      <w:pPr>
        <w:pStyle w:val="ProductList-Body"/>
        <w:rPr>
          <w:b/>
          <w:color w:val="00188F"/>
        </w:rPr>
      </w:pPr>
      <w:r>
        <w:rPr>
          <w:b/>
          <w:color w:val="00188F"/>
        </w:rPr>
        <w:t>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D4B6B">
        <w:trPr>
          <w:tblHeader/>
        </w:trPr>
        <w:tc>
          <w:tcPr>
            <w:tcW w:w="5400" w:type="dxa"/>
            <w:shd w:val="clear" w:color="auto" w:fill="0072C6"/>
          </w:tcPr>
          <w:p w14:paraId="34417DF9" w14:textId="15D21924"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A96D1"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1D4B6B">
        <w:tc>
          <w:tcPr>
            <w:tcW w:w="5400" w:type="dxa"/>
          </w:tcPr>
          <w:p w14:paraId="3902C068" w14:textId="77777777" w:rsidR="00B22605" w:rsidRPr="00EF7CF9" w:rsidRDefault="00B22605" w:rsidP="00F01ED6">
            <w:pPr>
              <w:pStyle w:val="ProductList-OfferingBody"/>
              <w:jc w:val="center"/>
            </w:pPr>
            <w:r>
              <w:t>&lt; 99,95%</w:t>
            </w:r>
          </w:p>
        </w:tc>
        <w:tc>
          <w:tcPr>
            <w:tcW w:w="5400" w:type="dxa"/>
          </w:tcPr>
          <w:p w14:paraId="399C359E" w14:textId="77777777" w:rsidR="00B22605" w:rsidRPr="00EF7CF9" w:rsidRDefault="00B22605" w:rsidP="00F01ED6">
            <w:pPr>
              <w:pStyle w:val="ProductList-OfferingBody"/>
              <w:jc w:val="center"/>
            </w:pPr>
            <w:r>
              <w:t>10%</w:t>
            </w:r>
          </w:p>
        </w:tc>
      </w:tr>
      <w:tr w:rsidR="00B22605" w:rsidRPr="00B44CF9" w14:paraId="3DA37607" w14:textId="77777777" w:rsidTr="001D4B6B">
        <w:tc>
          <w:tcPr>
            <w:tcW w:w="5400" w:type="dxa"/>
          </w:tcPr>
          <w:p w14:paraId="79406AF7" w14:textId="77777777" w:rsidR="00B22605" w:rsidRPr="00EF7CF9" w:rsidRDefault="00B22605" w:rsidP="00F01ED6">
            <w:pPr>
              <w:pStyle w:val="ProductList-OfferingBody"/>
              <w:jc w:val="center"/>
            </w:pPr>
            <w:r>
              <w:t>&lt; 99%</w:t>
            </w:r>
          </w:p>
        </w:tc>
        <w:tc>
          <w:tcPr>
            <w:tcW w:w="5400" w:type="dxa"/>
          </w:tcPr>
          <w:p w14:paraId="375471EE" w14:textId="77777777" w:rsidR="00B22605" w:rsidRPr="00EF7CF9" w:rsidRDefault="00B22605" w:rsidP="00F01ED6">
            <w:pPr>
              <w:pStyle w:val="ProductList-OfferingBody"/>
              <w:jc w:val="center"/>
            </w:pPr>
            <w:r>
              <w:t>25%</w:t>
            </w:r>
          </w:p>
        </w:tc>
      </w:tr>
    </w:tbl>
    <w:p w14:paraId="42F3B7B8" w14:textId="77777777" w:rsidR="00B22605" w:rsidRPr="007553FE" w:rsidRDefault="00B22605" w:rsidP="00F01ED6">
      <w:pPr>
        <w:pStyle w:val="ProductList-Body"/>
        <w:rPr>
          <w:szCs w:val="18"/>
        </w:rPr>
      </w:pPr>
    </w:p>
    <w:p w14:paraId="1ADBEB22" w14:textId="77777777" w:rsidR="00B22605" w:rsidRDefault="00B22605" w:rsidP="00F01ED6">
      <w:pPr>
        <w:pStyle w:val="ProductList-Body"/>
        <w:rPr>
          <w:b/>
          <w:color w:val="00188F"/>
        </w:rPr>
      </w:pPr>
      <w:r>
        <w:rPr>
          <w:b/>
          <w:color w:val="00188F"/>
        </w:rPr>
        <w:t>Para um Centro de Dados Cassandra implementado com suporte para a Zona de Disponibilidade ativada numa região do Azure que suporta Zonas de Disponibilidade, 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D4B6B">
        <w:trPr>
          <w:tblHeader/>
        </w:trPr>
        <w:tc>
          <w:tcPr>
            <w:tcW w:w="5400" w:type="dxa"/>
            <w:shd w:val="clear" w:color="auto" w:fill="0072C6"/>
          </w:tcPr>
          <w:p w14:paraId="01D8304D" w14:textId="381B2A68"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DC1AF3F"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1D4B6B">
        <w:tc>
          <w:tcPr>
            <w:tcW w:w="5400" w:type="dxa"/>
          </w:tcPr>
          <w:p w14:paraId="6E5AA78B" w14:textId="77777777" w:rsidR="00B22605" w:rsidRPr="00EF7CF9" w:rsidRDefault="00B22605" w:rsidP="00F01ED6">
            <w:pPr>
              <w:pStyle w:val="ProductList-OfferingBody"/>
              <w:jc w:val="center"/>
            </w:pPr>
            <w:r>
              <w:t>&lt; 99,99%</w:t>
            </w:r>
          </w:p>
        </w:tc>
        <w:tc>
          <w:tcPr>
            <w:tcW w:w="5400" w:type="dxa"/>
          </w:tcPr>
          <w:p w14:paraId="26DA7403" w14:textId="77777777" w:rsidR="00B22605" w:rsidRPr="00EF7CF9" w:rsidRDefault="00B22605" w:rsidP="00F01ED6">
            <w:pPr>
              <w:pStyle w:val="ProductList-OfferingBody"/>
              <w:jc w:val="center"/>
            </w:pPr>
            <w:r>
              <w:t>10%</w:t>
            </w:r>
          </w:p>
        </w:tc>
      </w:tr>
      <w:tr w:rsidR="00B22605" w:rsidRPr="00B44CF9" w14:paraId="5340A779" w14:textId="77777777" w:rsidTr="001D4B6B">
        <w:tc>
          <w:tcPr>
            <w:tcW w:w="5400" w:type="dxa"/>
          </w:tcPr>
          <w:p w14:paraId="3A515058" w14:textId="77777777" w:rsidR="00B22605" w:rsidRPr="00EF7CF9" w:rsidRDefault="00B22605" w:rsidP="00F01ED6">
            <w:pPr>
              <w:pStyle w:val="ProductList-OfferingBody"/>
              <w:jc w:val="center"/>
            </w:pPr>
            <w:r>
              <w:t>&lt; 99%</w:t>
            </w:r>
          </w:p>
        </w:tc>
        <w:tc>
          <w:tcPr>
            <w:tcW w:w="5400" w:type="dxa"/>
          </w:tcPr>
          <w:p w14:paraId="5C841C5B" w14:textId="77777777" w:rsidR="00B22605" w:rsidRPr="00EF7CF9" w:rsidRDefault="00B22605" w:rsidP="00F01ED6">
            <w:pPr>
              <w:pStyle w:val="ProductList-OfferingBody"/>
              <w:jc w:val="center"/>
            </w:pPr>
            <w:r>
              <w:t>25%</w:t>
            </w:r>
          </w:p>
        </w:tc>
      </w:tr>
    </w:tbl>
    <w:p w14:paraId="15FF5D13" w14:textId="77777777" w:rsidR="007553FE" w:rsidRDefault="007553FE" w:rsidP="007553FE">
      <w:pPr>
        <w:pStyle w:val="ProductList-Body"/>
        <w:rPr>
          <w:rFonts w:ascii="Calibri" w:hAnsi="Calibri" w:cs="Calibri"/>
          <w:b/>
          <w:bCs/>
          <w:color w:val="00188F"/>
        </w:rPr>
      </w:pPr>
    </w:p>
    <w:p w14:paraId="79927BDB" w14:textId="3C25ECEF" w:rsidR="007553FE" w:rsidRPr="009A3360" w:rsidRDefault="007553FE" w:rsidP="007553FE">
      <w:pPr>
        <w:pStyle w:val="ProductList-Body"/>
        <w:rPr>
          <w:rFonts w:ascii="Calibri" w:hAnsi="Calibri" w:cs="Calibri"/>
          <w:b/>
          <w:bCs/>
          <w:color w:val="00188F"/>
        </w:rPr>
      </w:pPr>
      <w:r>
        <w:rPr>
          <w:rFonts w:ascii="Calibri" w:hAnsi="Calibri" w:cs="Calibri"/>
          <w:b/>
          <w:bCs/>
          <w:color w:val="00188F"/>
        </w:rPr>
        <w:t>Para um Cluster Cassandra implementado com datacenters em várias regiões e na Zona de Disponibilidade ativada numa região do Azure que suporta Zonas de Disponibilidade, os seguintes Níveis de Serviço e Créditos de Serviço são aplicáveis à utilização que o Cliente faz de um Datacenter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553FE" w:rsidRPr="006B307B" w14:paraId="5813E1AD" w14:textId="77777777" w:rsidTr="00661DF9">
        <w:trPr>
          <w:trHeight w:val="265"/>
          <w:tblHeader/>
        </w:trPr>
        <w:tc>
          <w:tcPr>
            <w:tcW w:w="5234" w:type="dxa"/>
            <w:shd w:val="clear" w:color="auto" w:fill="0072C6"/>
          </w:tcPr>
          <w:p w14:paraId="03A673F4"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de Múltiplas Localizações de Escrita</w:t>
            </w:r>
          </w:p>
        </w:tc>
        <w:tc>
          <w:tcPr>
            <w:tcW w:w="5566" w:type="dxa"/>
            <w:shd w:val="clear" w:color="auto" w:fill="0072C6"/>
          </w:tcPr>
          <w:p w14:paraId="23BB00A1"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304BAC88" w14:textId="77777777" w:rsidTr="00661DF9">
        <w:trPr>
          <w:trHeight w:val="284"/>
        </w:trPr>
        <w:tc>
          <w:tcPr>
            <w:tcW w:w="5234" w:type="dxa"/>
          </w:tcPr>
          <w:p w14:paraId="0DC584BD" w14:textId="77777777" w:rsidR="007553FE" w:rsidRPr="00762BE9" w:rsidRDefault="007553FE" w:rsidP="00661DF9">
            <w:pPr>
              <w:pStyle w:val="ProductList-OfferingBody"/>
              <w:jc w:val="center"/>
              <w:rPr>
                <w:rFonts w:ascii="Calibri" w:hAnsi="Calibri" w:cs="Calibri"/>
              </w:rPr>
            </w:pPr>
            <w:r>
              <w:rPr>
                <w:rFonts w:ascii="Calibri" w:hAnsi="Calibri" w:cs="Calibri"/>
              </w:rPr>
              <w:t>&lt; 99,999%</w:t>
            </w:r>
          </w:p>
        </w:tc>
        <w:tc>
          <w:tcPr>
            <w:tcW w:w="5566" w:type="dxa"/>
          </w:tcPr>
          <w:p w14:paraId="6D8206CC"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3F6A3186" w14:textId="77777777" w:rsidTr="00661DF9">
        <w:trPr>
          <w:trHeight w:val="265"/>
        </w:trPr>
        <w:tc>
          <w:tcPr>
            <w:tcW w:w="5234" w:type="dxa"/>
          </w:tcPr>
          <w:p w14:paraId="6226B0F3"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66" w:type="dxa"/>
          </w:tcPr>
          <w:p w14:paraId="015F486D"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7FAB6CC" w14:textId="77777777" w:rsidR="007553FE" w:rsidRPr="006B3C1D" w:rsidRDefault="007553FE" w:rsidP="007553FE">
      <w:pPr>
        <w:pStyle w:val="ProductList-Body"/>
        <w:rPr>
          <w:szCs w:val="18"/>
        </w:rPr>
      </w:pPr>
    </w:p>
    <w:p w14:paraId="1843A29A" w14:textId="77777777" w:rsidR="007553FE" w:rsidRPr="009A3360" w:rsidRDefault="007553FE" w:rsidP="007553FE">
      <w:pPr>
        <w:pStyle w:val="ProductList-Body"/>
        <w:keepNext/>
        <w:rPr>
          <w:rFonts w:ascii="Calibri" w:hAnsi="Calibri" w:cs="Calibri"/>
          <w:color w:val="0072C6"/>
        </w:rPr>
      </w:pPr>
      <w:r>
        <w:rPr>
          <w:rFonts w:ascii="Calibri" w:hAnsi="Calibri" w:cs="Calibri"/>
          <w:b/>
          <w:color w:val="00188F"/>
        </w:rPr>
        <w:t>Para um Datacenter Cassandra implementado com Região Única e Zona de Disponibilidade NÃO está ativada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67A0D834" w14:textId="77777777" w:rsidTr="00661DF9">
        <w:trPr>
          <w:tblHeader/>
        </w:trPr>
        <w:tc>
          <w:tcPr>
            <w:tcW w:w="5220" w:type="dxa"/>
            <w:shd w:val="clear" w:color="auto" w:fill="0072C6"/>
          </w:tcPr>
          <w:p w14:paraId="75C1B666"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w:t>
            </w:r>
          </w:p>
        </w:tc>
        <w:tc>
          <w:tcPr>
            <w:tcW w:w="5579" w:type="dxa"/>
            <w:shd w:val="clear" w:color="auto" w:fill="0072C6"/>
          </w:tcPr>
          <w:p w14:paraId="237F59B2"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E038432" w14:textId="77777777" w:rsidTr="00661DF9">
        <w:tc>
          <w:tcPr>
            <w:tcW w:w="5220" w:type="dxa"/>
          </w:tcPr>
          <w:p w14:paraId="20933B3A"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4B53EEF8"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2B5820EB" w14:textId="77777777" w:rsidTr="00661DF9">
        <w:tc>
          <w:tcPr>
            <w:tcW w:w="5220" w:type="dxa"/>
          </w:tcPr>
          <w:p w14:paraId="17F365C8"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6F94679F"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F3AF69" w14:textId="77777777" w:rsidR="007553FE" w:rsidRPr="006B307B" w:rsidRDefault="007553FE" w:rsidP="007553FE">
      <w:pPr>
        <w:pStyle w:val="ProductList-Body"/>
        <w:rPr>
          <w:b/>
          <w:color w:val="00188F"/>
        </w:rPr>
      </w:pPr>
    </w:p>
    <w:p w14:paraId="159D3965" w14:textId="77777777" w:rsidR="007553FE" w:rsidRPr="00762BE9" w:rsidRDefault="007553FE" w:rsidP="007553FE">
      <w:pPr>
        <w:pStyle w:val="ProductList-Body"/>
        <w:keepNext/>
        <w:rPr>
          <w:rFonts w:ascii="Calibri" w:hAnsi="Calibri" w:cs="Calibri"/>
          <w:color w:val="0072C6"/>
        </w:rPr>
      </w:pPr>
      <w:r>
        <w:rPr>
          <w:rFonts w:ascii="Calibri" w:hAnsi="Calibri" w:cs="Calibri"/>
          <w:b/>
          <w:color w:val="00188F"/>
        </w:rPr>
        <w:t xml:space="preserve">Para um Datacenter Cassandra implementado numa Região Única com Zona de Disponibilidade ativada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50CD58B5" w14:textId="77777777" w:rsidTr="00661DF9">
        <w:trPr>
          <w:tblHeader/>
        </w:trPr>
        <w:tc>
          <w:tcPr>
            <w:tcW w:w="5220" w:type="dxa"/>
            <w:shd w:val="clear" w:color="auto" w:fill="0072C6"/>
          </w:tcPr>
          <w:p w14:paraId="4BAFA10C"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(SR-AZ)</w:t>
            </w:r>
          </w:p>
        </w:tc>
        <w:tc>
          <w:tcPr>
            <w:tcW w:w="5579" w:type="dxa"/>
            <w:shd w:val="clear" w:color="auto" w:fill="0072C6"/>
          </w:tcPr>
          <w:p w14:paraId="2BC21C88"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FF1B091" w14:textId="77777777" w:rsidTr="00661DF9">
        <w:tc>
          <w:tcPr>
            <w:tcW w:w="5220" w:type="dxa"/>
          </w:tcPr>
          <w:p w14:paraId="70D106A5"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1DF8E18D"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B44CF9" w14:paraId="0918BF62" w14:textId="77777777" w:rsidTr="00661DF9">
        <w:tc>
          <w:tcPr>
            <w:tcW w:w="5220" w:type="dxa"/>
          </w:tcPr>
          <w:p w14:paraId="260F9C6B"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3FF08485"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99E71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147E3E0" w14:textId="08506889" w:rsidR="004005AF" w:rsidRDefault="004005AF" w:rsidP="00F01ED6">
      <w:pPr>
        <w:pStyle w:val="ProductList-Offering2Heading"/>
        <w:tabs>
          <w:tab w:val="clear" w:pos="360"/>
          <w:tab w:val="clear" w:pos="720"/>
          <w:tab w:val="clear" w:pos="1080"/>
        </w:tabs>
        <w:outlineLvl w:val="2"/>
      </w:pPr>
      <w:bookmarkStart w:id="314" w:name="_Toc182409690"/>
      <w:r>
        <w:t>Azure Maps</w:t>
      </w:r>
      <w:bookmarkEnd w:id="298"/>
      <w:bookmarkEnd w:id="299"/>
      <w:bookmarkEnd w:id="314"/>
    </w:p>
    <w:p w14:paraId="1DFE050F" w14:textId="77777777" w:rsidR="004005AF" w:rsidRPr="00DA6241" w:rsidRDefault="004005AF" w:rsidP="00F01ED6">
      <w:pPr>
        <w:pStyle w:val="ProductList-Body"/>
      </w:pPr>
      <w:r>
        <w:rPr>
          <w:b/>
          <w:color w:val="00188F"/>
        </w:rPr>
        <w:t>Definições Adicionais</w:t>
      </w:r>
      <w:r w:rsidRPr="00473DD3">
        <w:rPr>
          <w:b/>
          <w:color w:val="00188F"/>
        </w:rPr>
        <w:t>:</w:t>
      </w:r>
    </w:p>
    <w:p w14:paraId="3514CD84" w14:textId="522506E8" w:rsidR="004005AF" w:rsidRDefault="00380305" w:rsidP="00F01ED6">
      <w:pPr>
        <w:spacing w:after="0" w:line="240" w:lineRule="auto"/>
        <w:rPr>
          <w:sz w:val="18"/>
        </w:rPr>
      </w:pPr>
      <w:r>
        <w:rPr>
          <w:sz w:val="18"/>
        </w:rPr>
        <w:t>“</w:t>
      </w:r>
      <w:r w:rsidR="004005AF">
        <w:rPr>
          <w:b/>
          <w:color w:val="00188F"/>
          <w:sz w:val="18"/>
        </w:rPr>
        <w:t>Total de Tentativas de Transação</w:t>
      </w:r>
      <w:r>
        <w:rPr>
          <w:sz w:val="18"/>
        </w:rPr>
        <w:t>”</w:t>
      </w:r>
      <w:r w:rsidR="004005AF">
        <w:rPr>
          <w:rFonts w:eastAsiaTheme="minorEastAsia"/>
          <w:sz w:val="18"/>
          <w:szCs w:val="18"/>
        </w:rPr>
        <w:t xml:space="preserve"> </w:t>
      </w:r>
      <w:r w:rsidR="004005AF">
        <w:rPr>
          <w:sz w:val="18"/>
        </w:rPr>
        <w:t>designa o número total de pedidos da API autenticadas efetuados pelo Cliente para uma determinada API do</w:t>
      </w:r>
      <w:r w:rsidR="003671E6">
        <w:rPr>
          <w:sz w:val="18"/>
        </w:rPr>
        <w:t> </w:t>
      </w:r>
      <w:r w:rsidR="004005AF">
        <w:rPr>
          <w:sz w:val="18"/>
        </w:rPr>
        <w:t>Azure Map durante um Período Aplicável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7A1D1C36" w14:textId="5B09B62A" w:rsidR="004005AF" w:rsidRPr="001E2554" w:rsidRDefault="00380305" w:rsidP="00F01ED6">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designa o conjunto de todos os pedidos no Total de Tentativas de Transação que resultam num Código de Erro ou que, de</w:t>
      </w:r>
      <w:r w:rsidR="003671E6">
        <w:rPr>
          <w:sz w:val="18"/>
        </w:rPr>
        <w:t> </w:t>
      </w:r>
      <w:r w:rsidR="004005AF">
        <w:rPr>
          <w:sz w:val="18"/>
        </w:rPr>
        <w:t>outro modo, não devolvem um Código de Êxito no prazo de 60 segundos após a receção por parte do Serviço.</w:t>
      </w:r>
    </w:p>
    <w:p w14:paraId="49D04CF6" w14:textId="30DAB182" w:rsidR="004005AF" w:rsidRDefault="004005AF" w:rsidP="00F01ED6">
      <w:pPr>
        <w:pStyle w:val="ProductList-Body"/>
      </w:pPr>
      <w:r>
        <w:t xml:space="preserve">A </w:t>
      </w:r>
      <w:r w:rsidR="00380305" w:rsidRPr="00CB7596">
        <w:t>“</w:t>
      </w:r>
      <w:r>
        <w:rPr>
          <w:b/>
          <w:color w:val="00188F"/>
        </w:rPr>
        <w:t>Percentagem de Período de Disponibilidade</w:t>
      </w:r>
      <w:r w:rsidR="00380305">
        <w:t>”</w:t>
      </w:r>
      <w:r>
        <w:t xml:space="preserve"> para uma determinada API do Azure Map é calculada como o Total de Tentativas de Transação menos as Transações com Falha a dividir pelo Total de Tentativas de Transação multiplicado por 100.</w:t>
      </w:r>
    </w:p>
    <w:p w14:paraId="57255142" w14:textId="53D0E6DB" w:rsidR="004005AF" w:rsidRDefault="004005AF" w:rsidP="00F01ED6">
      <w:pPr>
        <w:pStyle w:val="ProductList-Body"/>
      </w:pPr>
      <w:r>
        <w:t>A Percentagem de Período de Disponibilidade é calculada através da seguinte fórmula:</w:t>
      </w:r>
    </w:p>
    <w:p w14:paraId="4DAB2D4A" w14:textId="77777777" w:rsidR="004005AF" w:rsidRDefault="004005AF" w:rsidP="00F01ED6">
      <w:pPr>
        <w:pStyle w:val="ProductList-Body"/>
      </w:pPr>
    </w:p>
    <w:p w14:paraId="3AF54155" w14:textId="6F3A2F1C" w:rsidR="004005AF"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F01ED6">
      <w:pPr>
        <w:pStyle w:val="ProductList-Body"/>
        <w:keepNext/>
      </w:pPr>
      <w:r>
        <w:rPr>
          <w:b/>
          <w:color w:val="00188F"/>
        </w:rPr>
        <w:t>Os seguintes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shd w:val="clear" w:color="auto" w:fill="0072C6"/>
          </w:tcPr>
          <w:p w14:paraId="1CA81D95" w14:textId="77777777" w:rsidR="004005AF" w:rsidRPr="001A0074" w:rsidRDefault="004005AF" w:rsidP="00F01ED6">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F01ED6">
            <w:pPr>
              <w:pStyle w:val="ProductList-OfferingBody"/>
              <w:keepNext/>
              <w:jc w:val="center"/>
            </w:pPr>
            <w:r>
              <w:t>&lt; 99,9%</w:t>
            </w:r>
          </w:p>
        </w:tc>
        <w:tc>
          <w:tcPr>
            <w:tcW w:w="5400" w:type="dxa"/>
          </w:tcPr>
          <w:p w14:paraId="1D02CA4B" w14:textId="77777777" w:rsidR="004005AF" w:rsidRPr="0076238C" w:rsidRDefault="004005AF" w:rsidP="00F01ED6">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F01ED6">
            <w:pPr>
              <w:pStyle w:val="ProductList-OfferingBody"/>
              <w:keepNext/>
              <w:jc w:val="center"/>
            </w:pPr>
            <w:r>
              <w:t>&lt; 99%</w:t>
            </w:r>
          </w:p>
        </w:tc>
        <w:tc>
          <w:tcPr>
            <w:tcW w:w="5400" w:type="dxa"/>
          </w:tcPr>
          <w:p w14:paraId="7EDA3102" w14:textId="77777777" w:rsidR="004005AF" w:rsidRPr="0076238C" w:rsidRDefault="004005AF" w:rsidP="00F01ED6">
            <w:pPr>
              <w:pStyle w:val="ProductList-OfferingBody"/>
              <w:keepNext/>
              <w:jc w:val="center"/>
            </w:pPr>
            <w:r>
              <w:t>25%</w:t>
            </w:r>
          </w:p>
        </w:tc>
      </w:tr>
    </w:tbl>
    <w:bookmarkStart w:id="315" w:name="_Toc457821559"/>
    <w:bookmarkStart w:id="316" w:name="_Toc52348966"/>
    <w:bookmarkStart w:id="317" w:name="_Toc52348936"/>
    <w:bookmarkEnd w:id="300"/>
    <w:p w14:paraId="3CFA9B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125996" w14:textId="77777777" w:rsidR="0005465C" w:rsidRPr="00EF7CF9" w:rsidRDefault="0005465C" w:rsidP="00F01ED6">
      <w:pPr>
        <w:pStyle w:val="ProductList-Offering2Heading"/>
        <w:tabs>
          <w:tab w:val="clear" w:pos="360"/>
          <w:tab w:val="clear" w:pos="720"/>
          <w:tab w:val="clear" w:pos="1080"/>
        </w:tabs>
        <w:outlineLvl w:val="2"/>
      </w:pPr>
      <w:bookmarkStart w:id="318" w:name="_Toc182409691"/>
      <w:r>
        <w:t>Serviços de Multimédia</w:t>
      </w:r>
      <w:bookmarkEnd w:id="315"/>
      <w:bookmarkEnd w:id="316"/>
      <w:bookmarkEnd w:id="318"/>
    </w:p>
    <w:p w14:paraId="14038FDC" w14:textId="77777777" w:rsidR="0005465C" w:rsidRPr="00EF7CF9" w:rsidRDefault="0005465C" w:rsidP="00F01ED6">
      <w:pPr>
        <w:pStyle w:val="ProductList-Body"/>
      </w:pPr>
      <w:r>
        <w:rPr>
          <w:b/>
          <w:color w:val="00188F"/>
        </w:rPr>
        <w:t>Definições Adicionais</w:t>
      </w:r>
      <w:r w:rsidRPr="00473DD3">
        <w:rPr>
          <w:b/>
          <w:color w:val="00188F"/>
        </w:rPr>
        <w:t>:</w:t>
      </w:r>
    </w:p>
    <w:p w14:paraId="67B29F85" w14:textId="7855AA4F" w:rsidR="0005465C" w:rsidRPr="00ED4527" w:rsidRDefault="00380305" w:rsidP="00F01ED6">
      <w:pPr>
        <w:pStyle w:val="ProductList-Body"/>
        <w:rPr>
          <w:color w:val="000000" w:themeColor="text1"/>
        </w:rPr>
      </w:pPr>
      <w:r w:rsidRPr="00CB7596">
        <w:t>“</w:t>
      </w:r>
      <w:r w:rsidR="0005465C">
        <w:rPr>
          <w:b/>
          <w:bCs/>
          <w:color w:val="00188F"/>
        </w:rPr>
        <w:t>Largura de Banda de Saída Alocada</w:t>
      </w:r>
      <w:r>
        <w:rPr>
          <w:color w:val="000000" w:themeColor="text1"/>
        </w:rPr>
        <w:t>”</w:t>
      </w:r>
      <w:r w:rsidR="0005465C">
        <w:rPr>
          <w:color w:val="000000" w:themeColor="text1"/>
        </w:rPr>
        <w:t xml:space="preserve"> é a quantidade de largura de banda configurada pelo Cliente no Portal de Gestão para um Serviço de Multimédia. A Largura de Banda de Saída Alocada pode ser identificada como </w:t>
      </w:r>
      <w:r>
        <w:rPr>
          <w:color w:val="000000" w:themeColor="text1"/>
        </w:rPr>
        <w:t>“</w:t>
      </w:r>
      <w:r w:rsidR="0005465C">
        <w:rPr>
          <w:color w:val="000000" w:themeColor="text1"/>
        </w:rPr>
        <w:t>Unidades de Transmissão em Fluxo</w:t>
      </w:r>
      <w:r>
        <w:rPr>
          <w:color w:val="000000" w:themeColor="text1"/>
        </w:rPr>
        <w:t>”</w:t>
      </w:r>
      <w:r w:rsidR="0005465C">
        <w:rPr>
          <w:color w:val="000000" w:themeColor="text1"/>
        </w:rPr>
        <w:t xml:space="preserve"> ou um nome semelhante no</w:t>
      </w:r>
      <w:r w:rsidR="00E4415E">
        <w:rPr>
          <w:color w:val="000000" w:themeColor="text1"/>
        </w:rPr>
        <w:t> </w:t>
      </w:r>
      <w:r w:rsidR="0005465C">
        <w:rPr>
          <w:color w:val="000000" w:themeColor="text1"/>
        </w:rPr>
        <w:t>Portal de Gestão.</w:t>
      </w:r>
    </w:p>
    <w:p w14:paraId="4A9E9EC9" w14:textId="34DB63D1" w:rsidR="0005465C" w:rsidRPr="00EF7CF9" w:rsidRDefault="00380305" w:rsidP="00F01ED6">
      <w:pPr>
        <w:pStyle w:val="ProductList-Body"/>
      </w:pPr>
      <w:r>
        <w:t>“</w:t>
      </w:r>
      <w:r w:rsidR="0005465C">
        <w:rPr>
          <w:b/>
          <w:color w:val="00188F"/>
        </w:rPr>
        <w:t>Canal</w:t>
      </w:r>
      <w:r>
        <w:t>”</w:t>
      </w:r>
      <w:r w:rsidR="0005465C">
        <w:t xml:space="preserve"> designa um ponto de fim num Serviço de Multimédia configurado para receber dados de multimédia. </w:t>
      </w:r>
    </w:p>
    <w:p w14:paraId="423E6D52" w14:textId="20FC2D0B" w:rsidR="0005465C" w:rsidRPr="00EF7CF9" w:rsidRDefault="00380305" w:rsidP="00F01ED6">
      <w:pPr>
        <w:pStyle w:val="ProductList-Body"/>
      </w:pPr>
      <w:r>
        <w:t>“</w:t>
      </w:r>
      <w:r w:rsidR="0005465C">
        <w:rPr>
          <w:b/>
          <w:color w:val="00188F"/>
        </w:rPr>
        <w:t>Codificação</w:t>
      </w:r>
      <w:r>
        <w:t>”</w:t>
      </w:r>
      <w:r w:rsidR="0005465C">
        <w:t xml:space="preserve"> designa o processamento de ficheiros multimédia por subscrição tal como configurado nas Tarefas dos Serviços de Multimédia.</w:t>
      </w:r>
    </w:p>
    <w:p w14:paraId="6FF4B6A2" w14:textId="33FFF240" w:rsidR="0005465C" w:rsidRDefault="00380305" w:rsidP="00F01ED6">
      <w:pPr>
        <w:pStyle w:val="ProductList-Body"/>
      </w:pPr>
      <w:r>
        <w:t>“</w:t>
      </w:r>
      <w:r w:rsidR="0005465C">
        <w:rPr>
          <w:b/>
          <w:color w:val="00188F"/>
        </w:rPr>
        <w:t>Tarefa de Indexação</w:t>
      </w:r>
      <w:r>
        <w:t>”</w:t>
      </w:r>
      <w:r w:rsidR="0005465C">
        <w:t xml:space="preserve"> designa uma Tarefa dos Serviços de Multimédia que é configurada para extrair o conteúdo de discurso de um ficheiro de entrada MP3 com uma duração mínima de cinco minutos.</w:t>
      </w:r>
    </w:p>
    <w:p w14:paraId="1A0F4882" w14:textId="7DFF6D00" w:rsidR="0005465C" w:rsidRDefault="00380305" w:rsidP="00F01ED6">
      <w:pPr>
        <w:pStyle w:val="ProductList-Body"/>
      </w:pPr>
      <w:r>
        <w:t>“</w:t>
      </w:r>
      <w:r w:rsidR="0005465C">
        <w:rPr>
          <w:b/>
          <w:bCs/>
          <w:color w:val="00188F"/>
        </w:rPr>
        <w:t>Unidade Reservada de Multimédia</w:t>
      </w:r>
      <w:r>
        <w:t>”</w:t>
      </w:r>
      <w:r w:rsidR="0005465C">
        <w:rPr>
          <w:color w:val="00188F"/>
        </w:rPr>
        <w:t xml:space="preserve"> </w:t>
      </w:r>
      <w:r w:rsidR="0005465C">
        <w:t>designa as unidades reservadas de codificação adquiridas pelo cliente numa conta de Serviços de Multimédia do Azure.</w:t>
      </w:r>
    </w:p>
    <w:p w14:paraId="575D6D2E" w14:textId="133DC03A" w:rsidR="0005465C" w:rsidRPr="00EF7CF9" w:rsidRDefault="00380305" w:rsidP="00F01ED6">
      <w:pPr>
        <w:pStyle w:val="ProductList-Body"/>
      </w:pPr>
      <w:r>
        <w:t>“</w:t>
      </w:r>
      <w:r w:rsidR="0005465C">
        <w:rPr>
          <w:b/>
          <w:color w:val="00188F"/>
        </w:rPr>
        <w:t>Serviço de Multimédia</w:t>
      </w:r>
      <w:r>
        <w:t>”</w:t>
      </w:r>
      <w:r w:rsidR="0005465C">
        <w:t xml:space="preserve"> identifica uma conta dos Serviços de Multimédia do Azure, criada no Portal de Gestão, associada à subscrição do Microsoft Azure do Cliente. Cada subscrição do Microsoft Azure poderá ter mais de um Serviço de Multimédia associado.</w:t>
      </w:r>
    </w:p>
    <w:p w14:paraId="36326244" w14:textId="201A0235" w:rsidR="0005465C" w:rsidRPr="00EF7CF9" w:rsidRDefault="00380305" w:rsidP="00F01ED6">
      <w:pPr>
        <w:pStyle w:val="ProductList-Body"/>
      </w:pPr>
      <w:r>
        <w:t>“</w:t>
      </w:r>
      <w:r w:rsidR="0005465C">
        <w:rPr>
          <w:b/>
          <w:color w:val="00188F"/>
        </w:rPr>
        <w:t>Pedido de Serviço de Multimédia</w:t>
      </w:r>
      <w:r>
        <w:t>”</w:t>
      </w:r>
      <w:r w:rsidR="0005465C">
        <w:t xml:space="preserve"> identifica um pedido emitido para o Serviço de Multimédia do Cliente.</w:t>
      </w:r>
    </w:p>
    <w:p w14:paraId="45F09B67" w14:textId="2ED827AB" w:rsidR="0005465C" w:rsidRPr="00EF7CF9" w:rsidRDefault="00380305" w:rsidP="00F01ED6">
      <w:pPr>
        <w:pStyle w:val="ProductList-Body"/>
      </w:pPr>
      <w:r>
        <w:t>“</w:t>
      </w:r>
      <w:r w:rsidR="0005465C">
        <w:rPr>
          <w:b/>
          <w:color w:val="00188F"/>
        </w:rPr>
        <w:t>Tarefa dos Serviços de Multimédia</w:t>
      </w:r>
      <w:r>
        <w:t>”</w:t>
      </w:r>
      <w:r w:rsidR="0005465C">
        <w:t xml:space="preserve"> designa uma operação individual de trabalho de processamento de multimédia tal como configurado pelo Cliente. As operações de processamento de multimédia envolvem a codificação e conversão de ficheiros multimédia.</w:t>
      </w:r>
    </w:p>
    <w:p w14:paraId="3A8689F2" w14:textId="317B8E87" w:rsidR="0005465C" w:rsidRPr="001C1F84" w:rsidRDefault="00380305" w:rsidP="00F01ED6">
      <w:pPr>
        <w:pStyle w:val="ProductList-Body"/>
        <w:rPr>
          <w:spacing w:val="-2"/>
        </w:rPr>
      </w:pPr>
      <w:r>
        <w:rPr>
          <w:spacing w:val="-2"/>
        </w:rPr>
        <w:t>“</w:t>
      </w:r>
      <w:r w:rsidR="0005465C" w:rsidRPr="001C1F84">
        <w:rPr>
          <w:b/>
          <w:color w:val="00188F"/>
          <w:spacing w:val="-2"/>
        </w:rPr>
        <w:t>Unidade de Transmissão em Fluxo</w:t>
      </w:r>
      <w:r>
        <w:rPr>
          <w:spacing w:val="-2"/>
        </w:rPr>
        <w:t>”</w:t>
      </w:r>
      <w:r w:rsidR="0005465C" w:rsidRPr="001C1F84">
        <w:rPr>
          <w:spacing w:val="-2"/>
        </w:rPr>
        <w:t xml:space="preserve"> designa uma unidade de capacidade de saída reservada, adquirida pelo Cliente para um Serviço de Multimédia.</w:t>
      </w:r>
    </w:p>
    <w:p w14:paraId="5666E659" w14:textId="39CFE8B0" w:rsidR="0005465C" w:rsidRPr="00EF7CF9" w:rsidRDefault="00380305" w:rsidP="00F01ED6">
      <w:pPr>
        <w:pStyle w:val="ProductList-Body"/>
      </w:pPr>
      <w:r>
        <w:rPr>
          <w:iCs/>
        </w:rPr>
        <w:t>“</w:t>
      </w:r>
      <w:r w:rsidR="0005465C">
        <w:rPr>
          <w:b/>
          <w:iCs/>
          <w:color w:val="00188F"/>
        </w:rPr>
        <w:t>Pedidos de Chave Válidos</w:t>
      </w:r>
      <w:r>
        <w:rPr>
          <w:iCs/>
        </w:rPr>
        <w:t>”</w:t>
      </w:r>
      <w:r w:rsidR="0005465C">
        <w:t xml:space="preserve"> são todos os pedidos efetuados para o Serviço de Proteção de Conteúdo para chaves de conteúdo existentes num Serviço de Multimédia do Cliente.</w:t>
      </w:r>
    </w:p>
    <w:p w14:paraId="449FD194" w14:textId="79062532" w:rsidR="0005465C" w:rsidRPr="00EF7CF9" w:rsidRDefault="00380305" w:rsidP="00F01ED6">
      <w:pPr>
        <w:pStyle w:val="ProductList-Body"/>
      </w:pPr>
      <w:r>
        <w:t>“</w:t>
      </w:r>
      <w:r w:rsidR="0005465C">
        <w:rPr>
          <w:b/>
          <w:color w:val="00188F"/>
        </w:rPr>
        <w:t>Pedidos de Serviços de Multimédia Válidos</w:t>
      </w:r>
      <w:r>
        <w:t>”</w:t>
      </w:r>
      <w:r w:rsidR="0005465C">
        <w:t xml:space="preserve"> designa todos os Pedidos de Serviço de Multimédia qualificáveis para o conteúdo multimédia existente numa conta de Armazenamento do Azure do cliente associada ao respetivo Serviço de Multimédia quando pelo menos uma Unidade de</w:t>
      </w:r>
      <w:r w:rsidR="00B44476">
        <w:t> </w:t>
      </w:r>
      <w:r w:rsidR="0005465C">
        <w:t>Transmissão em Fluxo foi adquirida e alocada a esse Serviço de Multimédia. Os Pedidos de Serviço de Multimédia Válidos não incluem Pedidos de Serviço de Multimédia para os quais o total do débito excede 80% da Largura de Banda Alocada.</w:t>
      </w:r>
    </w:p>
    <w:p w14:paraId="4237EE29" w14:textId="67B66F65" w:rsidR="0005465C" w:rsidRPr="00ED4527" w:rsidRDefault="00EE6E3C" w:rsidP="00576F3A">
      <w:pPr>
        <w:pStyle w:val="ProductList-Body"/>
        <w:keepNext/>
        <w:keepLines/>
        <w:rPr>
          <w:b/>
          <w:bCs/>
          <w:color w:val="00188F"/>
        </w:rPr>
      </w:pPr>
      <w:r>
        <w:rPr>
          <w:b/>
          <w:bCs/>
          <w:color w:val="00188F"/>
        </w:rPr>
        <w:t>Cálculo do Período de Disponibilidade e Níveis de Serviço para o Serviço de Codificação</w:t>
      </w:r>
    </w:p>
    <w:p w14:paraId="76B87B19" w14:textId="034192C6"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de API REST autenticados no que se refere a um Serviço de Multimédia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E5776FA" w14:textId="2412FCD1" w:rsidR="0005465C" w:rsidRPr="00EF7CF9" w:rsidRDefault="00380305" w:rsidP="00F01ED6">
      <w:pPr>
        <w:pStyle w:val="ProductList-Body"/>
      </w:pPr>
      <w:r>
        <w:t>“</w:t>
      </w:r>
      <w:r w:rsidR="0005465C">
        <w:rPr>
          <w:b/>
          <w:color w:val="00188F"/>
        </w:rPr>
        <w:t>Transações com Falha</w:t>
      </w:r>
      <w:r>
        <w:t>”</w:t>
      </w:r>
      <w:r w:rsidR="0005465C">
        <w:t xml:space="preserve"> é o conjunto de todos os pedidos no Total de Tentativas de Transação que não devolvem um Código de Êxito num prazo de 30 segundos a partir da receção do pedido por parte da Microsoft.</w:t>
      </w:r>
    </w:p>
    <w:p w14:paraId="1C7C2944" w14:textId="717C1E1E"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p</w:t>
      </w:r>
      <w:r w:rsidR="0005465C">
        <w:rPr>
          <w:color w:val="000000" w:themeColor="text1"/>
        </w:rPr>
        <w:t>ara o Serviço de Codificação dos Serviços de Multimédia do Azure é calculada como o Total de</w:t>
      </w:r>
      <w:r w:rsidR="00BD6370">
        <w:rPr>
          <w:color w:val="000000" w:themeColor="text1"/>
        </w:rPr>
        <w:t> </w:t>
      </w:r>
      <w:r w:rsidR="0005465C">
        <w:rPr>
          <w:color w:val="000000" w:themeColor="text1"/>
        </w:rPr>
        <w:t>Tentativas de Transação menos as Transações com Falha a dividir pelo Total de Tentativas de Transação num Período Aplicável para uma determinada subscrição do Microsoft Azure.</w:t>
      </w:r>
    </w:p>
    <w:p w14:paraId="6247E460" w14:textId="4BEA29D2" w:rsidR="0005465C" w:rsidRPr="00EF7CF9" w:rsidRDefault="0005465C" w:rsidP="00F01ED6">
      <w:pPr>
        <w:pStyle w:val="ProductList-Body"/>
      </w:pPr>
      <w:r>
        <w:t>A Percentagem de Período de Disponibilidade é calculada através da seguinte fórmula:</w:t>
      </w:r>
    </w:p>
    <w:p w14:paraId="7B112C6F" w14:textId="77777777" w:rsidR="0005465C" w:rsidRPr="00EF7CF9" w:rsidRDefault="0005465C" w:rsidP="00F01ED6">
      <w:pPr>
        <w:pStyle w:val="ProductList-Body"/>
      </w:pPr>
    </w:p>
    <w:p w14:paraId="5CE29E4D" w14:textId="038926F6"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60544333" w:rsidR="0005465C" w:rsidRPr="00EF7CF9" w:rsidRDefault="0005465C" w:rsidP="00427FFA">
      <w:pPr>
        <w:keepNext/>
        <w:spacing w:after="0" w:line="240" w:lineRule="auto"/>
      </w:pPr>
      <w:r>
        <w:rPr>
          <w:b/>
          <w:color w:val="00188F"/>
          <w:sz w:val="18"/>
        </w:rPr>
        <w:t>Os seguintes Níveis de Serviço e Créditos de Serviço são aplicáveis à utilização que o Cliente faz do Serviço de Codificação dos Serviços de</w:t>
      </w:r>
      <w:r w:rsidR="00427FFA">
        <w:rPr>
          <w:b/>
          <w:color w:val="00188F"/>
          <w:sz w:val="18"/>
        </w:rPr>
        <w:t> </w:t>
      </w:r>
      <w:r>
        <w:rPr>
          <w:b/>
          <w:color w:val="00188F"/>
          <w:sz w:val="18"/>
        </w:rPr>
        <w:t>Multimédia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5D3DBC8"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F01ED6">
            <w:pPr>
              <w:pStyle w:val="ProductList-OfferingBody"/>
              <w:jc w:val="center"/>
            </w:pPr>
            <w:r>
              <w:t>&lt; 99,9%</w:t>
            </w:r>
          </w:p>
        </w:tc>
        <w:tc>
          <w:tcPr>
            <w:tcW w:w="5400" w:type="dxa"/>
          </w:tcPr>
          <w:p w14:paraId="643F935F" w14:textId="77777777" w:rsidR="0005465C" w:rsidRPr="00EF7CF9" w:rsidRDefault="0005465C" w:rsidP="00F01ED6">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F01ED6">
            <w:pPr>
              <w:pStyle w:val="ProductList-OfferingBody"/>
              <w:jc w:val="center"/>
            </w:pPr>
            <w:r>
              <w:t>&lt; 99%</w:t>
            </w:r>
          </w:p>
        </w:tc>
        <w:tc>
          <w:tcPr>
            <w:tcW w:w="5400" w:type="dxa"/>
          </w:tcPr>
          <w:p w14:paraId="6588FFA0" w14:textId="77777777" w:rsidR="0005465C" w:rsidRPr="00EF7CF9" w:rsidRDefault="0005465C" w:rsidP="00F01ED6">
            <w:pPr>
              <w:pStyle w:val="ProductList-OfferingBody"/>
              <w:jc w:val="center"/>
            </w:pPr>
            <w:r>
              <w:t>25%</w:t>
            </w:r>
          </w:p>
        </w:tc>
      </w:tr>
    </w:tbl>
    <w:p w14:paraId="0EA33D4A" w14:textId="21205708" w:rsidR="0005465C" w:rsidRDefault="00EE6E3C" w:rsidP="00F01ED6">
      <w:pPr>
        <w:pStyle w:val="ProductList-Body"/>
        <w:keepNext/>
        <w:spacing w:before="120"/>
        <w:rPr>
          <w:b/>
          <w:bCs/>
          <w:color w:val="00188F"/>
        </w:rPr>
      </w:pPr>
      <w:r>
        <w:rPr>
          <w:b/>
          <w:bCs/>
          <w:color w:val="00188F"/>
        </w:rPr>
        <w:t>Cálculo do Período de Disponibilidade e Níveis de Serviço para o Indexador de Multimédia</w:t>
      </w:r>
    </w:p>
    <w:p w14:paraId="27730B1D" w14:textId="77777777" w:rsidR="0005465C" w:rsidRPr="00ED4527" w:rsidRDefault="0005465C" w:rsidP="00F01ED6">
      <w:pPr>
        <w:pStyle w:val="ProductList-Body"/>
        <w:rPr>
          <w:b/>
          <w:bCs/>
          <w:color w:val="00188F"/>
        </w:rPr>
      </w:pPr>
      <w:r>
        <w:rPr>
          <w:b/>
          <w:bCs/>
          <w:color w:val="00188F"/>
        </w:rPr>
        <w:t>Definições Adicionais:</w:t>
      </w:r>
    </w:p>
    <w:p w14:paraId="037E191A" w14:textId="2F2A427A" w:rsidR="0005465C" w:rsidRDefault="00380305" w:rsidP="00F01ED6">
      <w:pPr>
        <w:pStyle w:val="ProductList-Body"/>
      </w:pPr>
      <w:r>
        <w:t>“</w:t>
      </w:r>
      <w:r w:rsidR="0005465C">
        <w:rPr>
          <w:b/>
          <w:color w:val="00188F"/>
        </w:rPr>
        <w:t>Total de Tentativas de Transação</w:t>
      </w:r>
      <w:r>
        <w:t>”</w:t>
      </w:r>
      <w:r w:rsidR="0005465C">
        <w:t xml:space="preserve"> designa o número total de tentativas de execução de Tarefas do Indexador com uma Unidade Reservada de</w:t>
      </w:r>
      <w:r w:rsidR="00BA3473">
        <w:t> </w:t>
      </w:r>
      <w:r w:rsidR="0005465C">
        <w:t>Multimédia disponível por parte do Cliente durante um Período Aplicável para uma subscrição.</w:t>
      </w:r>
    </w:p>
    <w:p w14:paraId="1795AB74" w14:textId="224911FA" w:rsidR="0005465C" w:rsidRDefault="00380305" w:rsidP="00F01ED6">
      <w:pPr>
        <w:pStyle w:val="ProductList-Body"/>
      </w:pPr>
      <w:r>
        <w:t>“</w:t>
      </w:r>
      <w:r w:rsidR="0005465C">
        <w:rPr>
          <w:b/>
          <w:color w:val="00188F"/>
        </w:rPr>
        <w:t>Transações com Falha</w:t>
      </w:r>
      <w:r>
        <w:t>”</w:t>
      </w:r>
      <w:r w:rsidR="0005465C">
        <w:t xml:space="preserve"> é o conjunto de Tarefas de Indexação no Total de Tentativas de Transação que a) não sejam concluídas num período de</w:t>
      </w:r>
      <w:r w:rsidR="00BA3473">
        <w:t> </w:t>
      </w:r>
      <w:r w:rsidR="0005465C">
        <w:t>tempo que seja 3 vezes a duração do ficheiro de entrada ou b) não iniciem o processamento no prazo de 5 minutos do tempo em que uma Unidade Reservada de Multimédia se torna disponível para utilização pela Tarefa de Indexação.</w:t>
      </w:r>
    </w:p>
    <w:p w14:paraId="63DF2CAC" w14:textId="7D51DCF5"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w:t>
      </w:r>
      <w:r w:rsidR="0005465C">
        <w:rPr>
          <w:color w:val="000000" w:themeColor="text1"/>
        </w:rPr>
        <w:t>para o Indexador de Multimédia é calculada como o Total de Tentativas de Transação menos as Transações com Falha a dividir pelo Total de Tentativas de Transação num Período Aplicável para uma determinada subscrição do Microsoft Azure.</w:t>
      </w:r>
    </w:p>
    <w:p w14:paraId="03C1B0C8" w14:textId="2E4C5AF4" w:rsidR="0005465C" w:rsidRPr="00EF7CF9" w:rsidRDefault="0005465C" w:rsidP="00F01ED6">
      <w:pPr>
        <w:pStyle w:val="ProductList-Body"/>
      </w:pPr>
      <w:r>
        <w:t>A Percentagem de Período de Disponibilidade é calculada através da seguinte fórmula:</w:t>
      </w:r>
    </w:p>
    <w:p w14:paraId="38A7AA85" w14:textId="77777777" w:rsidR="0005465C" w:rsidRPr="00EF7CF9" w:rsidRDefault="0005465C" w:rsidP="00F01ED6">
      <w:pPr>
        <w:pStyle w:val="ProductList-Body"/>
      </w:pPr>
    </w:p>
    <w:p w14:paraId="13457D32" w14:textId="05AD4A5D"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5D3A37" w14:textId="77777777" w:rsidR="008217E5" w:rsidRDefault="008217E5" w:rsidP="00F01ED6">
      <w:pPr>
        <w:pStyle w:val="ProductList-Body"/>
        <w:rPr>
          <w:b/>
          <w:color w:val="00188F"/>
        </w:rPr>
      </w:pPr>
    </w:p>
    <w:p w14:paraId="6BE0A893" w14:textId="16D1D175" w:rsidR="0005465C" w:rsidRPr="00EF7CF9" w:rsidRDefault="0005465C" w:rsidP="00F01ED6">
      <w:pPr>
        <w:pStyle w:val="ProductList-Body"/>
      </w:pPr>
      <w:r>
        <w:rPr>
          <w:b/>
          <w:color w:val="00188F"/>
        </w:rPr>
        <w:t>Os seguintes Níveis de Serviço e Créditos de Serviço são aplicáveis à utilização que o Cliente faz do Indexador de Multimédia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DDFB4E"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F01ED6">
            <w:pPr>
              <w:pStyle w:val="ProductList-OfferingBody"/>
              <w:jc w:val="center"/>
            </w:pPr>
            <w:r>
              <w:t>&lt; 99,9%</w:t>
            </w:r>
          </w:p>
        </w:tc>
        <w:tc>
          <w:tcPr>
            <w:tcW w:w="5400" w:type="dxa"/>
          </w:tcPr>
          <w:p w14:paraId="07A02B82" w14:textId="77777777" w:rsidR="0005465C" w:rsidRPr="00EF7CF9" w:rsidRDefault="0005465C" w:rsidP="00F01ED6">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01ED6">
            <w:pPr>
              <w:pStyle w:val="ProductList-OfferingBody"/>
              <w:jc w:val="center"/>
            </w:pPr>
            <w:r>
              <w:t>&lt; 99%</w:t>
            </w:r>
          </w:p>
        </w:tc>
        <w:tc>
          <w:tcPr>
            <w:tcW w:w="5400" w:type="dxa"/>
          </w:tcPr>
          <w:p w14:paraId="1E95AC2B" w14:textId="77777777" w:rsidR="0005465C" w:rsidRPr="00EF7CF9" w:rsidRDefault="0005465C" w:rsidP="00F01ED6">
            <w:pPr>
              <w:pStyle w:val="ProductList-OfferingBody"/>
              <w:jc w:val="center"/>
            </w:pPr>
            <w:r>
              <w:t>25%</w:t>
            </w:r>
          </w:p>
        </w:tc>
      </w:tr>
    </w:tbl>
    <w:p w14:paraId="1FA15227" w14:textId="79A50EA6" w:rsidR="0005465C" w:rsidRDefault="00EE6E3C" w:rsidP="00907318">
      <w:pPr>
        <w:pStyle w:val="ProductList-Body"/>
        <w:spacing w:before="120"/>
        <w:rPr>
          <w:b/>
          <w:bCs/>
          <w:color w:val="00188F"/>
        </w:rPr>
      </w:pPr>
      <w:r>
        <w:rPr>
          <w:b/>
          <w:bCs/>
          <w:color w:val="00188F"/>
        </w:rPr>
        <w:t>Cálculo do Período de Disponibilidade e Níveis de Serviço para o Serviço de Transmissão em Fluxo</w:t>
      </w:r>
    </w:p>
    <w:p w14:paraId="0AD96E39" w14:textId="77777777" w:rsidR="0005465C" w:rsidRDefault="0005465C" w:rsidP="00F01ED6">
      <w:pPr>
        <w:pStyle w:val="ProductList-Body"/>
        <w:rPr>
          <w:b/>
          <w:bCs/>
          <w:color w:val="00188F"/>
        </w:rPr>
      </w:pPr>
      <w:r>
        <w:rPr>
          <w:b/>
          <w:bCs/>
          <w:color w:val="00188F"/>
        </w:rPr>
        <w:t>Definições Adicionais:</w:t>
      </w:r>
    </w:p>
    <w:p w14:paraId="52664232" w14:textId="6CCE733F"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uma determinada Unidade de Transmissão em Fluxo foi adquirida e alocada a um Serviço de Multimédia durante um Período Aplicável.</w:t>
      </w:r>
    </w:p>
    <w:p w14:paraId="38064890" w14:textId="478BFD2A"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todas as Unidades de Transmissão em Fluxo adquiridas e alocadas a um Serviço de Multimédia durante um Período Aplicável.</w:t>
      </w:r>
    </w:p>
    <w:p w14:paraId="641A9254" w14:textId="77777777"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em que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6A6C8E6F" w14:textId="05D95FD2"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 Serviço de Transmissão em Fluxo dos Serviços de Multimédia do Azure é calculada como o</w:t>
      </w:r>
      <w:r w:rsidR="00F71AD3">
        <w:t> </w:t>
      </w:r>
      <w:r>
        <w:t>Máximo de Minutos Disponíveis menos o Período de Indisponibilidade a dividir pelo Máximo de Minutos Disponíveis num Período Aplicável para uma determinada subscrição do Microsoft Azure.</w:t>
      </w:r>
    </w:p>
    <w:p w14:paraId="61A12412" w14:textId="72445C95" w:rsidR="0005465C" w:rsidRPr="00EF7CF9" w:rsidRDefault="0005465C" w:rsidP="00F01ED6">
      <w:pPr>
        <w:pStyle w:val="ProductList-Body"/>
      </w:pPr>
      <w:r>
        <w:t>A Percentagem de Período de Disponibilidade é calculada através da seguinte fórmula:</w:t>
      </w:r>
    </w:p>
    <w:p w14:paraId="7DF1A804" w14:textId="77777777" w:rsidR="0005465C" w:rsidRPr="00EF7CF9" w:rsidRDefault="0005465C" w:rsidP="00F01ED6">
      <w:pPr>
        <w:pStyle w:val="ProductList-Body"/>
      </w:pPr>
    </w:p>
    <w:p w14:paraId="3AC7ADB8" w14:textId="3907A2C9"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5E5DC2">
      <w:pPr>
        <w:pStyle w:val="ProductList-Body"/>
        <w:keepNext/>
        <w:keepLines/>
      </w:pPr>
      <w:r>
        <w:rPr>
          <w:b/>
          <w:color w:val="00188F"/>
        </w:rPr>
        <w:t>Os seguintes Níveis de Serviço e Créditos de Serviço são aplicáveis à utilização que o Cliente faz do Serviço de Transmissão em Fluxo A Pedido dos Serviços de Multimédia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D51487"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F01ED6">
            <w:pPr>
              <w:pStyle w:val="ProductList-OfferingBody"/>
              <w:jc w:val="center"/>
            </w:pPr>
            <w:r>
              <w:t>&lt; 99,9%</w:t>
            </w:r>
          </w:p>
        </w:tc>
        <w:tc>
          <w:tcPr>
            <w:tcW w:w="5400" w:type="dxa"/>
          </w:tcPr>
          <w:p w14:paraId="60FF2A85" w14:textId="77777777" w:rsidR="0005465C" w:rsidRPr="00EF7CF9" w:rsidRDefault="0005465C" w:rsidP="00F01ED6">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F01ED6">
            <w:pPr>
              <w:pStyle w:val="ProductList-OfferingBody"/>
              <w:jc w:val="center"/>
            </w:pPr>
            <w:r>
              <w:t>&lt; 99%</w:t>
            </w:r>
          </w:p>
        </w:tc>
        <w:tc>
          <w:tcPr>
            <w:tcW w:w="5400" w:type="dxa"/>
          </w:tcPr>
          <w:p w14:paraId="6B947007" w14:textId="77777777" w:rsidR="0005465C" w:rsidRPr="00EF7CF9" w:rsidRDefault="0005465C" w:rsidP="00F01ED6">
            <w:pPr>
              <w:pStyle w:val="ProductList-OfferingBody"/>
              <w:jc w:val="center"/>
            </w:pPr>
            <w:r>
              <w:t>25%</w:t>
            </w:r>
          </w:p>
        </w:tc>
      </w:tr>
    </w:tbl>
    <w:p w14:paraId="20A43B74" w14:textId="05227B1E" w:rsidR="0005465C" w:rsidRPr="00ED4527" w:rsidRDefault="00EE6E3C" w:rsidP="00907318">
      <w:pPr>
        <w:pStyle w:val="ProductList-Body"/>
        <w:spacing w:before="120"/>
        <w:rPr>
          <w:b/>
          <w:bCs/>
          <w:color w:val="00188F"/>
        </w:rPr>
      </w:pPr>
      <w:r>
        <w:rPr>
          <w:b/>
          <w:bCs/>
          <w:color w:val="00188F"/>
        </w:rPr>
        <w:t>Cálculo do Período de Disponibilidade e Níveis de Serviço para o Serviço do Indexador de Vídeo</w:t>
      </w:r>
    </w:p>
    <w:p w14:paraId="57898D88" w14:textId="77777777" w:rsidR="0005465C" w:rsidRPr="00ED4527" w:rsidRDefault="0005465C" w:rsidP="00F01ED6">
      <w:pPr>
        <w:pStyle w:val="ProductList-Body"/>
        <w:rPr>
          <w:b/>
          <w:bCs/>
          <w:color w:val="00188F"/>
        </w:rPr>
      </w:pPr>
      <w:r>
        <w:rPr>
          <w:b/>
          <w:bCs/>
          <w:color w:val="00188F"/>
        </w:rPr>
        <w:t>Definições Adicionais:</w:t>
      </w:r>
    </w:p>
    <w:p w14:paraId="530783AE" w14:textId="0319EC0D"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da API Indexador de Vídeo autenticados efetuados pelo Cliente durante um Período Aplicável para uma subscrição. O Total de Tentativas de Transação não inclui os pedidos de API Indexador de Vídeo que devolvem um Código de Erro e que são repetidos continuamente num intervalo de cinco minutos após a receção do primeiro Código de Erro, ou pedidos de Carregamento POST, que enviam o ficheiro como conteúdo com uma série de bytes.</w:t>
      </w:r>
    </w:p>
    <w:p w14:paraId="62538BEA" w14:textId="2CA8C658" w:rsidR="0005465C" w:rsidRPr="00EF7CF9" w:rsidRDefault="00380305" w:rsidP="00F01ED6">
      <w:pPr>
        <w:pStyle w:val="ProductList-Body"/>
      </w:pPr>
      <w:r>
        <w:t>“</w:t>
      </w:r>
      <w:r w:rsidR="0005465C">
        <w:rPr>
          <w:b/>
          <w:color w:val="00188F"/>
        </w:rPr>
        <w:t>Transações com Falha</w:t>
      </w:r>
      <w:r>
        <w:t>”</w:t>
      </w:r>
      <w:r w:rsidR="0005465C">
        <w:t xml:space="preserve"> designa o conjunto de todos os pedidos no Total de Tentativas de Transação que devolvem um Código de Erro ou que não enviam uma resposta ao fim de 360 segundos após a conclusão do envio do cliente por parte do cliente.</w:t>
      </w:r>
    </w:p>
    <w:p w14:paraId="3A2B8AD1" w14:textId="295144E0" w:rsidR="0005465C" w:rsidRPr="00F2068A" w:rsidRDefault="00380305" w:rsidP="00F01ED6">
      <w:pPr>
        <w:pStyle w:val="ProductList-Body"/>
        <w:rPr>
          <w:spacing w:val="-2"/>
        </w:rPr>
      </w:pPr>
      <w:r w:rsidRPr="00CB7596">
        <w:t>“</w:t>
      </w:r>
      <w:r w:rsidR="0005465C" w:rsidRPr="00F2068A">
        <w:rPr>
          <w:b/>
          <w:color w:val="00188F"/>
          <w:spacing w:val="-2"/>
        </w:rPr>
        <w:t>Percentagem de Período de Disponibilidade</w:t>
      </w:r>
      <w:r w:rsidRPr="00CB7596">
        <w:t>”</w:t>
      </w:r>
      <w:r w:rsidR="0005465C" w:rsidRPr="00F2068A">
        <w:rPr>
          <w:spacing w:val="-2"/>
        </w:rPr>
        <w:t xml:space="preserve"> para o Serviço do Indexador de Vídeo é calculada como o Total de Tentativas de Transação menos as Transações com Falha a dividir pelo Total de Tentativas de Transação num Período Aplicável para uma determinada subscrição do Microsoft Azure. </w:t>
      </w:r>
    </w:p>
    <w:p w14:paraId="3379429A" w14:textId="12695F41" w:rsidR="0005465C" w:rsidRPr="00EF7CF9" w:rsidRDefault="0005465C" w:rsidP="00F01ED6">
      <w:pPr>
        <w:pStyle w:val="ProductList-Body"/>
      </w:pPr>
      <w:r>
        <w:t>A Percentagem de Período de Disponibilidade é calculada através da seguinte fórmula:</w:t>
      </w:r>
    </w:p>
    <w:p w14:paraId="4DFCDD25" w14:textId="77777777" w:rsidR="0005465C" w:rsidRPr="00EF7CF9" w:rsidRDefault="0005465C" w:rsidP="00F01ED6">
      <w:pPr>
        <w:pStyle w:val="ProductList-Body"/>
      </w:pPr>
    </w:p>
    <w:p w14:paraId="78BCAE0D" w14:textId="30BE722D"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do Indexador de Vídeo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7AD259" w14:textId="77777777" w:rsidR="0005465C" w:rsidRPr="005A3C16"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F01ED6">
            <w:pPr>
              <w:pStyle w:val="ProductList-OfferingBody"/>
              <w:jc w:val="center"/>
            </w:pPr>
            <w:r>
              <w:t>&lt; 99,9%</w:t>
            </w:r>
          </w:p>
        </w:tc>
        <w:tc>
          <w:tcPr>
            <w:tcW w:w="5400" w:type="dxa"/>
          </w:tcPr>
          <w:p w14:paraId="47F17463" w14:textId="77777777" w:rsidR="0005465C" w:rsidRPr="005A3C16" w:rsidRDefault="0005465C" w:rsidP="00F01ED6">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F01ED6">
            <w:pPr>
              <w:pStyle w:val="ProductList-OfferingBody"/>
              <w:jc w:val="center"/>
            </w:pPr>
            <w:r>
              <w:t>&lt; 99%</w:t>
            </w:r>
          </w:p>
        </w:tc>
        <w:tc>
          <w:tcPr>
            <w:tcW w:w="5400" w:type="dxa"/>
          </w:tcPr>
          <w:p w14:paraId="3F63357C" w14:textId="77777777" w:rsidR="0005465C" w:rsidRPr="005A3C16" w:rsidRDefault="0005465C" w:rsidP="00F01ED6">
            <w:pPr>
              <w:pStyle w:val="ProductList-OfferingBody"/>
              <w:jc w:val="center"/>
            </w:pPr>
            <w:r>
              <w:t>25%</w:t>
            </w:r>
          </w:p>
        </w:tc>
      </w:tr>
    </w:tbl>
    <w:p w14:paraId="2C7ADA14" w14:textId="66FE91FC" w:rsidR="0005465C" w:rsidRDefault="00EE6E3C" w:rsidP="00907318">
      <w:pPr>
        <w:pStyle w:val="ProductList-Body"/>
        <w:spacing w:before="120"/>
        <w:rPr>
          <w:b/>
          <w:bCs/>
          <w:color w:val="00188F"/>
        </w:rPr>
      </w:pPr>
      <w:r>
        <w:rPr>
          <w:b/>
          <w:bCs/>
          <w:color w:val="00188F"/>
        </w:rPr>
        <w:t>Cálculo do Período de Disponibilidade e Níveis de Serviço para Canais em Direto</w:t>
      </w:r>
    </w:p>
    <w:p w14:paraId="000D0D6F" w14:textId="77777777" w:rsidR="0005465C" w:rsidRPr="00ED4527" w:rsidRDefault="0005465C" w:rsidP="00F01ED6">
      <w:pPr>
        <w:pStyle w:val="ProductList-Body"/>
        <w:rPr>
          <w:b/>
          <w:bCs/>
          <w:color w:val="00188F"/>
        </w:rPr>
      </w:pPr>
      <w:r>
        <w:rPr>
          <w:b/>
          <w:bCs/>
          <w:color w:val="00188F"/>
        </w:rPr>
        <w:t>Definições Adicionais:</w:t>
      </w:r>
    </w:p>
    <w:p w14:paraId="0FC8F879" w14:textId="76E7A7E9"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 determinado Canal foi adquirido e alocado a um Serviço de Multimédia e está operacional durante um Período Aplicável.</w:t>
      </w:r>
    </w:p>
    <w:p w14:paraId="2BF106B0" w14:textId="61F9F410"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todos os Canais adquiridos e alocados a um Serviço de Multimédia durante um Período Aplicável.</w:t>
      </w:r>
    </w:p>
    <w:p w14:paraId="589A4F11" w14:textId="00961A86"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quando o Serviço de Canais em Direto está indisponível. Um</w:t>
      </w:r>
      <w:r w:rsidR="004D5DFB">
        <w:t> </w:t>
      </w:r>
      <w:r>
        <w:t>minuto é considerado indisponível para um determinado Canal se o Canal não tiver qualquer Conectividade Externa durante o minuto.</w:t>
      </w:r>
    </w:p>
    <w:p w14:paraId="32D83198" w14:textId="01A3979B"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os Canais em Direto é calculada como o Máximo de Minutos Disponíveis menos o Período de</w:t>
      </w:r>
      <w:r w:rsidR="004D5DFB">
        <w:t> </w:t>
      </w:r>
      <w:r>
        <w:t>Indisponibilidade a dividir pelo Máximo de Minutos Disponíveis num Período Aplicável para uma determinada subscrição do Microsoft Azure.</w:t>
      </w:r>
    </w:p>
    <w:p w14:paraId="2AF355B5" w14:textId="2A3579D7" w:rsidR="0005465C" w:rsidRPr="00EF7CF9" w:rsidRDefault="0005465C" w:rsidP="00F01ED6">
      <w:pPr>
        <w:pStyle w:val="ProductList-Body"/>
      </w:pPr>
      <w:r>
        <w:t>A Percentagem de Período de Disponibilidade é calculada através da seguinte fórmula:</w:t>
      </w:r>
    </w:p>
    <w:p w14:paraId="542BD127" w14:textId="77777777" w:rsidR="0005465C" w:rsidRPr="00EF7CF9" w:rsidRDefault="0005465C" w:rsidP="00F01ED6">
      <w:pPr>
        <w:pStyle w:val="ProductList-Body"/>
      </w:pPr>
    </w:p>
    <w:p w14:paraId="30039B30" w14:textId="59498692" w:rsidR="0005465C" w:rsidRPr="00EF7CF9" w:rsidRDefault="00000000" w:rsidP="005E5DC2">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56547FF"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Canais em Direto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EAEC4D"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F01ED6">
            <w:pPr>
              <w:pStyle w:val="ProductList-OfferingBody"/>
              <w:jc w:val="center"/>
            </w:pPr>
            <w:r>
              <w:t>&lt; 99,9%</w:t>
            </w:r>
          </w:p>
        </w:tc>
        <w:tc>
          <w:tcPr>
            <w:tcW w:w="5400" w:type="dxa"/>
          </w:tcPr>
          <w:p w14:paraId="7C46E78F" w14:textId="77777777" w:rsidR="0005465C" w:rsidRPr="00EF7CF9" w:rsidRDefault="0005465C" w:rsidP="00F01ED6">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F01ED6">
            <w:pPr>
              <w:pStyle w:val="ProductList-OfferingBody"/>
              <w:jc w:val="center"/>
            </w:pPr>
            <w:r>
              <w:t>&lt; 99%</w:t>
            </w:r>
          </w:p>
        </w:tc>
        <w:tc>
          <w:tcPr>
            <w:tcW w:w="5400" w:type="dxa"/>
          </w:tcPr>
          <w:p w14:paraId="2A1B4C47" w14:textId="77777777" w:rsidR="0005465C" w:rsidRPr="00EF7CF9" w:rsidRDefault="0005465C" w:rsidP="00F01ED6">
            <w:pPr>
              <w:pStyle w:val="ProductList-OfferingBody"/>
              <w:jc w:val="center"/>
            </w:pPr>
            <w:r>
              <w:t>25%</w:t>
            </w:r>
          </w:p>
        </w:tc>
      </w:tr>
    </w:tbl>
    <w:p w14:paraId="596A31A9" w14:textId="0DDDA0D1" w:rsidR="0005465C" w:rsidRPr="00623706" w:rsidRDefault="00EE6E3C" w:rsidP="00907318">
      <w:pPr>
        <w:pStyle w:val="ProductList-Body"/>
        <w:spacing w:before="120"/>
        <w:rPr>
          <w:b/>
          <w:bCs/>
          <w:color w:val="00188F"/>
        </w:rPr>
      </w:pPr>
      <w:r>
        <w:rPr>
          <w:b/>
          <w:bCs/>
          <w:color w:val="00188F"/>
        </w:rPr>
        <w:t>Cálculo do Período de Disponibilidade e Níveis de Serviço para o Serviço de Proteção de Conteúdo</w:t>
      </w:r>
    </w:p>
    <w:p w14:paraId="5A000AB7" w14:textId="77777777" w:rsidR="0005465C" w:rsidRPr="00ED4527" w:rsidRDefault="0005465C" w:rsidP="00F01ED6">
      <w:pPr>
        <w:pStyle w:val="ProductList-Body"/>
        <w:rPr>
          <w:b/>
          <w:bCs/>
          <w:color w:val="00188F"/>
        </w:rPr>
      </w:pPr>
      <w:r>
        <w:rPr>
          <w:b/>
          <w:bCs/>
          <w:color w:val="00188F"/>
        </w:rPr>
        <w:t>Definições Adicionais</w:t>
      </w:r>
    </w:p>
    <w:p w14:paraId="4EA80504" w14:textId="257243E1" w:rsidR="0005465C" w:rsidRPr="00EF7CF9" w:rsidRDefault="00380305" w:rsidP="00F01ED6">
      <w:pPr>
        <w:pStyle w:val="ProductList-Body"/>
      </w:pPr>
      <w:r>
        <w:t>“</w:t>
      </w:r>
      <w:r w:rsidR="0005465C">
        <w:rPr>
          <w:b/>
          <w:color w:val="00188F"/>
        </w:rPr>
        <w:t>Total de Tentativas de Transação</w:t>
      </w:r>
      <w:r>
        <w:t>”</w:t>
      </w:r>
      <w:r w:rsidR="0005465C">
        <w:t xml:space="preserve"> designa todos os Pedidos de Chave Válidos efetuados pelo Cliente durante um Período Aplicável para uma determinada subscrição do Azure.</w:t>
      </w:r>
    </w:p>
    <w:p w14:paraId="1ED551EE" w14:textId="0B309703" w:rsidR="0005465C" w:rsidRPr="00F2068A" w:rsidRDefault="00380305" w:rsidP="00F01ED6">
      <w:pPr>
        <w:pStyle w:val="ProductList-Body"/>
        <w:rPr>
          <w:spacing w:val="-2"/>
        </w:rPr>
      </w:pPr>
      <w:r>
        <w:rPr>
          <w:spacing w:val="-2"/>
        </w:rPr>
        <w:t>“</w:t>
      </w:r>
      <w:r w:rsidR="0005465C" w:rsidRPr="00F2068A">
        <w:rPr>
          <w:b/>
          <w:color w:val="00188F"/>
          <w:spacing w:val="-2"/>
        </w:rPr>
        <w:t>Transações com Falha</w:t>
      </w:r>
      <w:r>
        <w:rPr>
          <w:spacing w:val="-2"/>
        </w:rPr>
        <w:t>”</w:t>
      </w:r>
      <w:r w:rsidR="0005465C" w:rsidRPr="00F2068A">
        <w:rPr>
          <w:spacing w:val="-2"/>
        </w:rPr>
        <w:t xml:space="preserve"> designa todos os Pedidos de Chave Válidos incluídos no Total de Tentativas de Transação que resultam num Código de Erro ou que, de outro modo, não devolvem um Código de Êxito no prazo de 30 segundos após a receção por parte do Serviço de Proteção de Conteúdo.</w:t>
      </w:r>
    </w:p>
    <w:p w14:paraId="78B4EB61" w14:textId="421223B1" w:rsidR="0005465C" w:rsidRPr="00F2068A" w:rsidRDefault="0005465C" w:rsidP="00F01ED6">
      <w:pPr>
        <w:pStyle w:val="ProductList-Body"/>
        <w:rPr>
          <w:spacing w:val="-3"/>
        </w:rPr>
      </w:pPr>
      <w:r w:rsidRPr="00F2068A">
        <w:rPr>
          <w:spacing w:val="-3"/>
        </w:rPr>
        <w:t xml:space="preserve">A </w:t>
      </w:r>
      <w:r w:rsidR="00380305" w:rsidRPr="00CB7596">
        <w:t>“</w:t>
      </w:r>
      <w:r w:rsidRPr="00F2068A">
        <w:rPr>
          <w:b/>
          <w:color w:val="00188F"/>
          <w:spacing w:val="-3"/>
        </w:rPr>
        <w:t>Percentagem de Período de Disponibilidade</w:t>
      </w:r>
      <w:r w:rsidR="00380305" w:rsidRPr="00CB7596">
        <w:t>”</w:t>
      </w:r>
      <w:r w:rsidRPr="00F2068A">
        <w:rPr>
          <w:spacing w:val="-3"/>
        </w:rPr>
        <w:t xml:space="preserve"> para os Serviços de Multimédia do Azure é calculada como o Total de Tentativas de Transação menos as Transações com Falha a dividir pelo Total de Tentativas de Transação num Período Aplicável para uma determinada subscrição do Microsoft Azure.</w:t>
      </w:r>
    </w:p>
    <w:p w14:paraId="4FB6D2DC" w14:textId="48010A30" w:rsidR="0005465C" w:rsidRPr="00EF7CF9" w:rsidRDefault="0005465C" w:rsidP="00334D35">
      <w:pPr>
        <w:pStyle w:val="ProductList-Body"/>
        <w:keepNext/>
      </w:pPr>
      <w:r>
        <w:t>A Percentagem de Período de Disponibilidade é calculada através da seguinte fórmula:</w:t>
      </w:r>
    </w:p>
    <w:p w14:paraId="33C42E0B" w14:textId="77777777" w:rsidR="0005465C" w:rsidRPr="00EF7CF9" w:rsidRDefault="0005465C" w:rsidP="00F01ED6">
      <w:pPr>
        <w:pStyle w:val="ProductList-Body"/>
      </w:pPr>
    </w:p>
    <w:p w14:paraId="082739F6" w14:textId="5073A515" w:rsidR="0005465C"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Proteção de Conteúdo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C7B3EF"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F01ED6">
            <w:pPr>
              <w:pStyle w:val="ProductList-OfferingBody"/>
              <w:jc w:val="center"/>
            </w:pPr>
            <w:r>
              <w:t>&lt; 99,9%</w:t>
            </w:r>
          </w:p>
        </w:tc>
        <w:tc>
          <w:tcPr>
            <w:tcW w:w="5400" w:type="dxa"/>
          </w:tcPr>
          <w:p w14:paraId="450872A4" w14:textId="77777777" w:rsidR="0005465C" w:rsidRPr="00EF7CF9" w:rsidRDefault="0005465C" w:rsidP="00F01ED6">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F01ED6">
            <w:pPr>
              <w:pStyle w:val="ProductList-OfferingBody"/>
              <w:jc w:val="center"/>
            </w:pPr>
            <w:r>
              <w:t>&lt; 99%</w:t>
            </w:r>
          </w:p>
        </w:tc>
        <w:tc>
          <w:tcPr>
            <w:tcW w:w="5400" w:type="dxa"/>
          </w:tcPr>
          <w:p w14:paraId="7C259C76" w14:textId="77777777" w:rsidR="0005465C" w:rsidRPr="00EF7CF9" w:rsidRDefault="0005465C" w:rsidP="00F01ED6">
            <w:pPr>
              <w:pStyle w:val="ProductList-OfferingBody"/>
              <w:jc w:val="center"/>
            </w:pPr>
            <w:r>
              <w:t>25%</w:t>
            </w:r>
          </w:p>
        </w:tc>
      </w:tr>
    </w:tbl>
    <w:p w14:paraId="31727C8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A19FC05" w14:textId="77777777" w:rsidR="009C6082" w:rsidRPr="00E53123" w:rsidRDefault="009C6082" w:rsidP="00F01ED6">
      <w:pPr>
        <w:pStyle w:val="ProductList-Offering2Heading"/>
        <w:tabs>
          <w:tab w:val="clear" w:pos="360"/>
          <w:tab w:val="clear" w:pos="720"/>
          <w:tab w:val="clear" w:pos="1080"/>
        </w:tabs>
        <w:outlineLvl w:val="2"/>
      </w:pPr>
      <w:bookmarkStart w:id="319" w:name="_Toc182409692"/>
      <w:r>
        <w:t>Serviço MedTech</w:t>
      </w:r>
      <w:bookmarkEnd w:id="319"/>
    </w:p>
    <w:p w14:paraId="41E626DB" w14:textId="77777777" w:rsidR="009C6082" w:rsidRDefault="009C6082" w:rsidP="00F01ED6">
      <w:pPr>
        <w:shd w:val="clear" w:color="auto" w:fill="FFFFFF"/>
        <w:spacing w:after="0" w:line="240" w:lineRule="auto"/>
        <w:rPr>
          <w:sz w:val="18"/>
        </w:rPr>
      </w:pPr>
      <w:r>
        <w:rPr>
          <w:sz w:val="18"/>
        </w:rPr>
        <w:t>Um serviço MedTech é considerado disponível durante uma janela de um minuto se leu com êxito a partir da origem de dados configurada ou está disponível para leitura a partir de uma origem de dados depois de corretamente configurado.</w:t>
      </w:r>
    </w:p>
    <w:p w14:paraId="4213C408" w14:textId="2F0EC4A3" w:rsidR="009C6082" w:rsidRPr="00E53123" w:rsidRDefault="00EE6E3C" w:rsidP="00F01ED6">
      <w:pPr>
        <w:pStyle w:val="ProductList-Body"/>
        <w:rPr>
          <w:b/>
          <w:color w:val="00188F"/>
        </w:rPr>
      </w:pPr>
      <w:r>
        <w:rPr>
          <w:b/>
          <w:color w:val="00188F"/>
        </w:rPr>
        <w:t>Cálculo do Período de Disponibilidade</w:t>
      </w:r>
    </w:p>
    <w:p w14:paraId="0B543B21" w14:textId="3261A860" w:rsidR="009C6082" w:rsidRDefault="009C6082" w:rsidP="00F01ED6">
      <w:pPr>
        <w:pStyle w:val="ProductList-Body"/>
      </w:pPr>
      <w:r>
        <w:t xml:space="preserve">A </w:t>
      </w:r>
      <w:r w:rsidR="00380305">
        <w:t>“</w:t>
      </w:r>
      <w:r>
        <w:rPr>
          <w:b/>
          <w:color w:val="00188F"/>
        </w:rPr>
        <w:t>Percentagem de Período de Disponibilidade</w:t>
      </w:r>
      <w:r w:rsidR="00380305">
        <w:t>”</w:t>
      </w:r>
      <w:r>
        <w:t xml:space="preserve"> para o serviço MedTech é calculada como o Total de Minutos Disponíveis menos os Minutos Indisponíveis, dividido pelo Total de Minutos em que o serviço MedTech esteve ativo. A Percentagem de Período de Disponibilidade é representada pela seguinte fórmula:</w:t>
      </w:r>
    </w:p>
    <w:p w14:paraId="55E70D59" w14:textId="77777777" w:rsidR="0015371D" w:rsidRDefault="0015371D" w:rsidP="00F01ED6">
      <w:pPr>
        <w:pStyle w:val="ProductList-Body"/>
      </w:pPr>
    </w:p>
    <w:p w14:paraId="29A8600A" w14:textId="4E77B1F7" w:rsidR="009C6082"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Disponíveis-Minutos com Falhas</m:t>
              </m:r>
            </m:num>
            <m:den>
              <m:r>
                <m:rPr>
                  <m:nor/>
                </m:rPr>
                <w:rPr>
                  <w:rFonts w:ascii="Cambria Math" w:hAnsi="Cambria Math" w:cs="Calibri"/>
                  <w:i/>
                  <w:iCs/>
                  <w:sz w:val="18"/>
                  <w:szCs w:val="18"/>
                </w:rPr>
                <m:t>Total de Minutos</m:t>
              </m:r>
            </m:den>
          </m:f>
          <m:r>
            <w:rPr>
              <w:rFonts w:ascii="Cambria Math" w:hAnsi="Cambria Math" w:cs="Calibri"/>
              <w:sz w:val="18"/>
              <w:szCs w:val="18"/>
            </w:rPr>
            <m:t xml:space="preserve"> x 100</m:t>
          </m:r>
        </m:oMath>
      </m:oMathPara>
    </w:p>
    <w:p w14:paraId="3B793820" w14:textId="77777777" w:rsidR="009C6082" w:rsidRPr="00954022" w:rsidRDefault="009C6082" w:rsidP="00F01ED6">
      <w:pPr>
        <w:pStyle w:val="ProductList-Body"/>
        <w:rPr>
          <w:b/>
          <w:color w:val="00188F"/>
        </w:rPr>
      </w:pPr>
      <w:r w:rsidRPr="00954022">
        <w:rPr>
          <w:b/>
          <w:color w:val="00188F"/>
        </w:rPr>
        <w:t>Os seguintes Níveis de Serviço e Créditos de Serviço são aplicáveis ao serviço MedTech:</w:t>
      </w:r>
    </w:p>
    <w:p w14:paraId="04C48FDA" w14:textId="77777777" w:rsidR="009C6082" w:rsidRPr="00EF7CF9" w:rsidRDefault="009C608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BCC4D7" w14:textId="77777777" w:rsidR="009C6082" w:rsidRPr="00EF7CF9" w:rsidRDefault="009C6082" w:rsidP="00F01ED6">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F01ED6">
            <w:pPr>
              <w:pStyle w:val="ProductList-OfferingBody"/>
              <w:jc w:val="center"/>
            </w:pPr>
            <w:r>
              <w:t>&lt; 99,9%</w:t>
            </w:r>
          </w:p>
        </w:tc>
        <w:tc>
          <w:tcPr>
            <w:tcW w:w="5400" w:type="dxa"/>
          </w:tcPr>
          <w:p w14:paraId="7A0412B6" w14:textId="77777777" w:rsidR="009C6082" w:rsidRPr="00EF7CF9" w:rsidRDefault="009C6082" w:rsidP="00F01ED6">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F01ED6">
            <w:pPr>
              <w:pStyle w:val="ProductList-OfferingBody"/>
              <w:jc w:val="center"/>
            </w:pPr>
            <w:r>
              <w:t>&lt; 99%</w:t>
            </w:r>
          </w:p>
        </w:tc>
        <w:tc>
          <w:tcPr>
            <w:tcW w:w="5400" w:type="dxa"/>
          </w:tcPr>
          <w:p w14:paraId="3028563A" w14:textId="77777777" w:rsidR="009C6082" w:rsidRPr="00EF7CF9" w:rsidRDefault="009C6082" w:rsidP="00F01ED6">
            <w:pPr>
              <w:pStyle w:val="ProductList-OfferingBody"/>
              <w:jc w:val="center"/>
            </w:pPr>
            <w:r>
              <w:t>25%</w:t>
            </w:r>
          </w:p>
        </w:tc>
      </w:tr>
    </w:tbl>
    <w:p w14:paraId="1922FC5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DC77B91" w14:textId="77777777" w:rsidR="0005465C" w:rsidRPr="0005465C" w:rsidRDefault="0005465C" w:rsidP="00F01ED6">
      <w:pPr>
        <w:pStyle w:val="ProductList-Offering2Heading"/>
        <w:keepNext/>
        <w:tabs>
          <w:tab w:val="clear" w:pos="360"/>
          <w:tab w:val="clear" w:pos="720"/>
          <w:tab w:val="clear" w:pos="1080"/>
        </w:tabs>
        <w:outlineLvl w:val="2"/>
      </w:pPr>
      <w:bookmarkStart w:id="320" w:name="_Toc182409693"/>
      <w:r>
        <w:t>Microsoft Cost Management</w:t>
      </w:r>
      <w:bookmarkEnd w:id="320"/>
    </w:p>
    <w:p w14:paraId="18DC5859" w14:textId="6FA30107" w:rsidR="0005465C" w:rsidRPr="0005465C" w:rsidRDefault="00EE6E3C" w:rsidP="00F01ED6">
      <w:pPr>
        <w:pStyle w:val="ProductList-Body"/>
        <w:rPr>
          <w:b/>
          <w:bCs/>
          <w:color w:val="00188F"/>
        </w:rPr>
      </w:pPr>
      <w:r>
        <w:rPr>
          <w:b/>
          <w:bCs/>
          <w:color w:val="00188F"/>
        </w:rPr>
        <w:t>Cálculo do Período de Disponibilidade para a disponibilidade do Azure Cost Management</w:t>
      </w:r>
    </w:p>
    <w:p w14:paraId="58360CBF" w14:textId="4B047E33" w:rsidR="0005465C" w:rsidRDefault="00380305" w:rsidP="00F01ED6">
      <w:pPr>
        <w:pStyle w:val="ProductList-Body"/>
      </w:pPr>
      <w:r>
        <w:t>“</w:t>
      </w:r>
      <w:r w:rsidR="0005465C">
        <w:rPr>
          <w:b/>
          <w:bCs/>
          <w:color w:val="00188F"/>
        </w:rPr>
        <w:t>Total de Pedidos</w:t>
      </w:r>
      <w:r>
        <w:t>”</w:t>
      </w:r>
      <w:r w:rsidR="0005465C">
        <w:t xml:space="preserve"> é o número total de pedidos ao serviço ACM para os gastos do Cross Cloud do Cliente num determinado Período Aplicável.</w:t>
      </w:r>
    </w:p>
    <w:p w14:paraId="402B2F70" w14:textId="3DEF7202" w:rsidR="0005465C" w:rsidRDefault="00380305" w:rsidP="00F01ED6">
      <w:pPr>
        <w:pStyle w:val="ProductList-Body"/>
      </w:pPr>
      <w:r>
        <w:t>“</w:t>
      </w:r>
      <w:r w:rsidR="0005465C">
        <w:rPr>
          <w:b/>
          <w:bCs/>
          <w:color w:val="00188F"/>
        </w:rPr>
        <w:t>Pedidos com Falha</w:t>
      </w:r>
      <w:r>
        <w:t>”</w:t>
      </w:r>
      <w:r w:rsidR="0005465C">
        <w:t xml:space="preserve"> é o conjunto de todos os pedidos para o serviço Azure Cost Management no Total de Pedidos que devolvem um código de erro ou que não são contam com o serviço.</w:t>
      </w:r>
    </w:p>
    <w:p w14:paraId="3040E592" w14:textId="76431808" w:rsidR="0005465C" w:rsidRDefault="0005465C" w:rsidP="00F01ED6">
      <w:pPr>
        <w:pStyle w:val="ProductList-Body"/>
      </w:pPr>
      <w:r>
        <w:t xml:space="preserve">A </w:t>
      </w:r>
      <w:r w:rsidR="00380305">
        <w:t>“</w:t>
      </w:r>
      <w:r>
        <w:rPr>
          <w:b/>
          <w:bCs/>
          <w:color w:val="00188F"/>
        </w:rPr>
        <w:t>Percentagem de Período de Disponibilidade</w:t>
      </w:r>
      <w:r w:rsidR="00380305">
        <w:t>”</w:t>
      </w:r>
      <w:r>
        <w:t xml:space="preserve"> é calculada como o Total de Pedidos menos os Pedidos com Falha a dividir pelo Total de Pedidos num Período Aplicável. A Percentagem de Período de Disponibilidade é representada pela seguinte fórmula:</w:t>
      </w:r>
    </w:p>
    <w:p w14:paraId="757C6E5C" w14:textId="77777777" w:rsidR="0005465C" w:rsidRPr="00EF7CF9" w:rsidRDefault="0005465C" w:rsidP="00F01ED6">
      <w:pPr>
        <w:pStyle w:val="ProductList-Body"/>
      </w:pPr>
    </w:p>
    <w:p w14:paraId="41A2AAD5" w14:textId="70EA8D13" w:rsidR="0005465C"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F01ED6">
      <w:pPr>
        <w:pStyle w:val="ProductList-Body"/>
        <w:keepNext/>
        <w:keepLines/>
        <w:rPr>
          <w:b/>
          <w:bCs/>
          <w:color w:val="00188F"/>
        </w:rPr>
      </w:pPr>
      <w:r>
        <w:rPr>
          <w:b/>
          <w:bCs/>
          <w:color w:val="00188F"/>
        </w:rPr>
        <w:t>Os seguintes Níveis de Serviço e Créditos de Serviço são aplicáveis à utilização do Azure Cost Management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1870225" w14:textId="77777777" w:rsidR="0005465C" w:rsidRPr="00EF7CF9" w:rsidRDefault="0005465C" w:rsidP="00F01ED6">
            <w:pPr>
              <w:pStyle w:val="ProductList-OfferingBody"/>
              <w:keepNext/>
              <w:keepLines/>
              <w:jc w:val="center"/>
              <w:rPr>
                <w:color w:val="FFFFFF" w:themeColor="background1"/>
              </w:rPr>
            </w:pPr>
            <w:r>
              <w:rPr>
                <w:color w:val="FFFFFF" w:themeColor="background1"/>
              </w:rPr>
              <w:t>Crédito de Serviço</w:t>
            </w:r>
          </w:p>
        </w:tc>
      </w:tr>
      <w:tr w:rsidR="0005465C" w:rsidRPr="00B44CF9" w14:paraId="1FB176C6" w14:textId="77777777" w:rsidTr="00277097">
        <w:tc>
          <w:tcPr>
            <w:tcW w:w="5400" w:type="dxa"/>
          </w:tcPr>
          <w:p w14:paraId="584A89D2" w14:textId="77777777" w:rsidR="0005465C" w:rsidRPr="00EF7CF9" w:rsidRDefault="0005465C" w:rsidP="00F01ED6">
            <w:pPr>
              <w:pStyle w:val="ProductList-OfferingBody"/>
              <w:keepNext/>
              <w:keepLines/>
              <w:jc w:val="center"/>
            </w:pPr>
            <w:r>
              <w:t>&lt; 99,9%</w:t>
            </w:r>
          </w:p>
        </w:tc>
        <w:tc>
          <w:tcPr>
            <w:tcW w:w="5400" w:type="dxa"/>
          </w:tcPr>
          <w:p w14:paraId="3E961BB3" w14:textId="77777777" w:rsidR="0005465C" w:rsidRPr="00EF7CF9" w:rsidRDefault="0005465C" w:rsidP="00F01ED6">
            <w:pPr>
              <w:pStyle w:val="ProductList-OfferingBody"/>
              <w:keepNext/>
              <w:keepLines/>
              <w:jc w:val="center"/>
            </w:pPr>
            <w:r>
              <w:t>10%</w:t>
            </w:r>
          </w:p>
        </w:tc>
      </w:tr>
      <w:tr w:rsidR="0005465C" w:rsidRPr="00B44CF9" w14:paraId="3D1EC939" w14:textId="77777777" w:rsidTr="00277097">
        <w:tc>
          <w:tcPr>
            <w:tcW w:w="5400" w:type="dxa"/>
          </w:tcPr>
          <w:p w14:paraId="76264E1D" w14:textId="77777777" w:rsidR="0005465C" w:rsidRPr="00EF7CF9" w:rsidRDefault="0005465C" w:rsidP="00F01ED6">
            <w:pPr>
              <w:pStyle w:val="ProductList-OfferingBody"/>
              <w:keepNext/>
              <w:keepLines/>
              <w:jc w:val="center"/>
            </w:pPr>
            <w:r>
              <w:t>&lt; 99%</w:t>
            </w:r>
          </w:p>
        </w:tc>
        <w:tc>
          <w:tcPr>
            <w:tcW w:w="5400" w:type="dxa"/>
          </w:tcPr>
          <w:p w14:paraId="368F939D" w14:textId="77777777" w:rsidR="0005465C" w:rsidRPr="00EF7CF9" w:rsidRDefault="0005465C" w:rsidP="00F01ED6">
            <w:pPr>
              <w:pStyle w:val="ProductList-OfferingBody"/>
              <w:keepNext/>
              <w:keepLines/>
              <w:jc w:val="center"/>
            </w:pPr>
            <w:r>
              <w:t>25%</w:t>
            </w:r>
          </w:p>
        </w:tc>
      </w:tr>
    </w:tbl>
    <w:p w14:paraId="4EDD67DA" w14:textId="44EBDFB7" w:rsidR="0005465C" w:rsidRDefault="0005465C" w:rsidP="0015371D">
      <w:pPr>
        <w:pStyle w:val="ProductList-Body"/>
        <w:spacing w:before="120"/>
      </w:pPr>
      <w:r>
        <w:rPr>
          <w:b/>
          <w:bCs/>
          <w:color w:val="00188F"/>
        </w:rPr>
        <w:t>Termos Adicionais:</w:t>
      </w:r>
      <w:r>
        <w:t xml:space="preserve"> O SLA não será aplicável quando a impossibilidade de recolher os dados gastos se dever a problemas nos pontos finais do AWS, nos serviços externos ao Azure Cost Management ou a alterações do Cliente à respetiva configuração do Azure.</w:t>
      </w:r>
    </w:p>
    <w:bookmarkStart w:id="321" w:name="_Toc52348973"/>
    <w:bookmarkStart w:id="322" w:name="_Toc457821565"/>
    <w:p w14:paraId="2630924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ED7DE4C" w14:textId="77777777" w:rsidR="00745257" w:rsidRDefault="00745257" w:rsidP="00E00488">
      <w:pPr>
        <w:pStyle w:val="ProductList-Offering2Heading"/>
        <w:tabs>
          <w:tab w:val="clear" w:pos="360"/>
          <w:tab w:val="clear" w:pos="720"/>
          <w:tab w:val="clear" w:pos="1080"/>
        </w:tabs>
        <w:outlineLvl w:val="2"/>
      </w:pPr>
      <w:bookmarkStart w:id="323" w:name="_Toc182409694"/>
      <w:r>
        <w:t>Microsoft Fabric</w:t>
      </w:r>
      <w:bookmarkEnd w:id="323"/>
    </w:p>
    <w:p w14:paraId="6A78041D" w14:textId="77777777" w:rsidR="00745257" w:rsidRPr="00917E39" w:rsidRDefault="00745257" w:rsidP="0074525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1942CC24"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Capacidade</w:t>
      </w:r>
      <w:r w:rsidRPr="00FF1FCB">
        <w:rPr>
          <w:rFonts w:ascii="Calibri" w:hAnsi="Calibri" w:cs="Calibri"/>
          <w:b/>
          <w:bCs/>
          <w:color w:val="00188F"/>
        </w:rPr>
        <w:t>:</w:t>
      </w:r>
      <w:r>
        <w:rPr>
          <w:rFonts w:ascii="Calibri" w:hAnsi="Calibri" w:cs="Calibri"/>
          <w:color w:val="000000" w:themeColor="text1"/>
        </w:rPr>
        <w:t xml:space="preserve"> A capacidade é um conjunto dedicado de recursos que está disponível num determinado momento para ser utilizado. A capacidade define a aptidão de um recurso para realizar uma atividade ou produzir resultados. Diferentes itens consomem diferentes capacidades num determinado momento. O Fabric oferece capacidade através de Avaliações e da SKU do Fabric. Para mais informações, consulte </w:t>
      </w:r>
      <w:hyperlink r:id="rId21" w:anchor="capacity" w:history="1">
        <w:r>
          <w:rPr>
            <w:rStyle w:val="Hyperlink"/>
            <w:rFonts w:ascii="Calibri" w:hAnsi="Calibri" w:cs="Calibri"/>
          </w:rPr>
          <w:t>O que é a capacidade</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29E415E"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Máximo de Minutos Disponíveis</w:t>
      </w:r>
      <w:r w:rsidRPr="00FF1FCB">
        <w:rPr>
          <w:rFonts w:ascii="Calibri" w:hAnsi="Calibri" w:cs="Calibri"/>
          <w:b/>
          <w:bCs/>
          <w:color w:val="00188F"/>
        </w:rPr>
        <w:t>:</w:t>
      </w:r>
      <w:r>
        <w:rPr>
          <w:rFonts w:ascii="Calibri" w:hAnsi="Calibri" w:cs="Calibri"/>
          <w:color w:val="000000" w:themeColor="text1"/>
        </w:rPr>
        <w:t xml:space="preserve"> A soma de todos os minutos durante os quais uma determinada Capacidade individual foi atribuída a uma instância durante um Período Aplicável para um determinado inquilino.</w:t>
      </w:r>
    </w:p>
    <w:p w14:paraId="7C3E8724" w14:textId="77777777" w:rsidR="00745257" w:rsidRPr="00917E39" w:rsidRDefault="00745257" w:rsidP="00840862">
      <w:pPr>
        <w:pStyle w:val="ProductList-Body"/>
        <w:rPr>
          <w:rFonts w:ascii="Calibri" w:hAnsi="Calibri" w:cs="Calibri"/>
          <w:color w:val="000000" w:themeColor="text1"/>
        </w:rPr>
      </w:pPr>
      <w:r>
        <w:rPr>
          <w:rFonts w:ascii="Calibri" w:hAnsi="Calibri" w:cs="Calibri"/>
          <w:b/>
          <w:bCs/>
          <w:color w:val="00188F"/>
        </w:rPr>
        <w:t>Minutos de Período de Indisponibilidade*</w:t>
      </w:r>
      <w:r w:rsidRPr="00FF1FCB">
        <w:rPr>
          <w:rFonts w:ascii="Calibri" w:hAnsi="Calibri" w:cs="Calibri"/>
          <w:b/>
          <w:bCs/>
          <w:color w:val="00188F"/>
        </w:rPr>
        <w:t>:</w:t>
      </w:r>
      <w:r>
        <w:rPr>
          <w:rFonts w:ascii="Calibri" w:hAnsi="Calibri" w:cs="Calibri"/>
          <w:color w:val="000000" w:themeColor="text1"/>
        </w:rPr>
        <w:t xml:space="preserve"> O total de minutos acumulados num Período Aplicável para uma determinada Capacidade, após a sua criação, ou antes de ser desaprovisionada, durante os quais não é possível utilizar a Capacidade em todas as funcionalidades aplicáveis do Fabrica listadas abaixo:</w:t>
      </w:r>
    </w:p>
    <w:p w14:paraId="05D361AC"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Power BI: redirecionar para a secção Power BI</w:t>
      </w:r>
    </w:p>
    <w:p w14:paraId="1956C50D"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Ver:</w:t>
      </w:r>
      <w:r>
        <w:rPr>
          <w:rFonts w:ascii="Calibri" w:hAnsi="Calibri" w:cs="Calibri"/>
          <w:szCs w:val="18"/>
        </w:rPr>
        <w:t xml:space="preserve"> ver Dashboards, Relatórios e Aplicações do Power BI no serviço.</w:t>
      </w:r>
    </w:p>
    <w:p w14:paraId="30D234BA"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0B3D9578" w14:textId="77777777" w:rsidR="00745257" w:rsidRPr="00917E39" w:rsidRDefault="00745257" w:rsidP="00840862">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acesso e utilização do Portal do Power BI dentro dos períodos esperados, tendo em consideração as condições e as limitações da rede, locais do ambiente do cliente ou externas à Microsoft.</w:t>
      </w:r>
    </w:p>
    <w:p w14:paraId="549BE48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Gestor de Dados</w:t>
      </w:r>
    </w:p>
    <w:p w14:paraId="7B9AD0E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Fluxo de Dados de Gen2:</w:t>
      </w:r>
      <w:r>
        <w:rPr>
          <w:rFonts w:ascii="Calibri" w:hAnsi="Calibri" w:cs="Calibri"/>
          <w:szCs w:val="18"/>
        </w:rPr>
        <w:t xml:space="preserve"> Agende ou acione manualmente uma operação de atualização e espere pela conclusão dessas operações.</w:t>
      </w:r>
    </w:p>
    <w:p w14:paraId="7D4D212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Pipelin</w:t>
      </w:r>
      <w:r w:rsidRPr="00FF1FCB">
        <w:rPr>
          <w:rFonts w:ascii="Calibri" w:hAnsi="Calibri" w:cs="Calibri"/>
          <w:b/>
          <w:bCs/>
          <w:color w:val="00188F"/>
        </w:rPr>
        <w:t>e:</w:t>
      </w:r>
      <w:r>
        <w:rPr>
          <w:rFonts w:ascii="Calibri" w:hAnsi="Calibri" w:cs="Calibri"/>
          <w:szCs w:val="18"/>
        </w:rPr>
        <w:t xml:space="preserve"> abra Pipelines no serviço.</w:t>
      </w:r>
    </w:p>
    <w:p w14:paraId="12FDE37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Engenharia de Dados</w:t>
      </w:r>
    </w:p>
    <w:p w14:paraId="310BD6F2"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 xml:space="preserve">Abrir </w:t>
      </w:r>
      <w:r w:rsidRPr="00FF1FCB">
        <w:rPr>
          <w:rFonts w:ascii="Calibri" w:hAnsi="Calibri" w:cs="Calibri"/>
          <w:b/>
          <w:bCs/>
          <w:color w:val="00188F"/>
        </w:rPr>
        <w:t>Lakehouse:</w:t>
      </w:r>
      <w:r>
        <w:rPr>
          <w:rFonts w:ascii="Calibri" w:hAnsi="Calibri" w:cs="Calibri"/>
          <w:szCs w:val="18"/>
        </w:rPr>
        <w:t xml:space="preserve"> abra e veja uma Lakehouse no serviço.</w:t>
      </w:r>
    </w:p>
    <w:p w14:paraId="2E41DAC8"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Bloco de Notas:</w:t>
      </w:r>
      <w:r>
        <w:rPr>
          <w:rFonts w:ascii="Calibri" w:hAnsi="Calibri" w:cs="Calibri"/>
          <w:szCs w:val="18"/>
        </w:rPr>
        <w:t xml:space="preserve"> abra e veja uma Bloco de Notas no serviço.</w:t>
      </w:r>
    </w:p>
    <w:p w14:paraId="4AEF2803"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 xml:space="preserve">Abrir Definição de Trabalho do </w:t>
      </w:r>
      <w:r w:rsidRPr="00FF1FCB">
        <w:rPr>
          <w:rFonts w:ascii="Calibri" w:hAnsi="Calibri" w:cs="Calibri"/>
          <w:b/>
          <w:bCs/>
          <w:color w:val="00188F"/>
        </w:rPr>
        <w:t>Spark:</w:t>
      </w:r>
      <w:r>
        <w:rPr>
          <w:rFonts w:ascii="Calibri" w:hAnsi="Calibri" w:cs="Calibri"/>
          <w:szCs w:val="18"/>
        </w:rPr>
        <w:t xml:space="preserve"> abra e veja uma Definição de Trabalho de Spark no serviço.</w:t>
      </w:r>
    </w:p>
    <w:p w14:paraId="53DED228"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Ciência de Dados</w:t>
      </w:r>
    </w:p>
    <w:p w14:paraId="2D7734DF" w14:textId="6E896C9A"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modelo ML:</w:t>
      </w:r>
      <w:r>
        <w:rPr>
          <w:rFonts w:ascii="Calibri" w:hAnsi="Calibri" w:cs="Calibri"/>
          <w:szCs w:val="18"/>
        </w:rPr>
        <w:t xml:space="preserve"> abra e veja os modelos ML no serviço.</w:t>
      </w:r>
    </w:p>
    <w:p w14:paraId="2A36AA59"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Armazém de Dados</w:t>
      </w:r>
    </w:p>
    <w:p w14:paraId="0E31D660"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Base de Dados:</w:t>
      </w:r>
      <w:r>
        <w:rPr>
          <w:rFonts w:ascii="Calibri" w:hAnsi="Calibri" w:cs="Calibri"/>
          <w:szCs w:val="18"/>
        </w:rPr>
        <w:t xml:space="preserve"> abra e veja uma base de dados de Armazém de Dados no serviço.</w:t>
      </w:r>
    </w:p>
    <w:p w14:paraId="28F9E3A3"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Análise em Tempo Real</w:t>
      </w:r>
    </w:p>
    <w:p w14:paraId="159EB7FD"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Eventstream:</w:t>
      </w:r>
      <w:r>
        <w:rPr>
          <w:rFonts w:ascii="Calibri" w:hAnsi="Calibri" w:cs="Calibri"/>
          <w:szCs w:val="18"/>
        </w:rPr>
        <w:t xml:space="preserve"> abra e veja Eventstreams no serviço.</w:t>
      </w:r>
    </w:p>
    <w:p w14:paraId="05051B3D"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Abrir Base de Dados KQL:</w:t>
      </w:r>
      <w:r>
        <w:rPr>
          <w:rFonts w:ascii="Calibri" w:hAnsi="Calibri" w:cs="Calibri"/>
        </w:rPr>
        <w:t xml:space="preserve"> abra e veja uma base de dados KQL no serviço.</w:t>
      </w:r>
    </w:p>
    <w:p w14:paraId="2FF29AB9"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OneLake</w:t>
      </w:r>
    </w:p>
    <w:p w14:paraId="09268174"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 xml:space="preserve">Transações de leitura de OneLake: </w:t>
      </w:r>
      <w:r>
        <w:rPr>
          <w:rFonts w:ascii="Calibri" w:hAnsi="Calibri" w:cs="Calibri"/>
        </w:rPr>
        <w:t>Quaisquer operações de leitura para APIs DFS de OneLake</w:t>
      </w:r>
      <w:r>
        <w:rPr>
          <w:rFonts w:ascii="Calibri" w:hAnsi="Calibri" w:cs="Calibri"/>
          <w:color w:val="00188F"/>
        </w:rPr>
        <w:t>.</w:t>
      </w:r>
    </w:p>
    <w:p w14:paraId="2540F53E" w14:textId="77777777" w:rsidR="00462EB3" w:rsidRDefault="00462EB3" w:rsidP="00462EB3">
      <w:pPr>
        <w:pStyle w:val="ProductList-Body"/>
        <w:rPr>
          <w:rFonts w:ascii="Calibri" w:hAnsi="Calibri" w:cs="Calibri"/>
          <w:color w:val="000000" w:themeColor="text1"/>
        </w:rPr>
      </w:pPr>
      <w:r>
        <w:rPr>
          <w:rFonts w:ascii="Calibri" w:hAnsi="Calibri" w:cs="Calibri"/>
          <w:b/>
          <w:bCs/>
          <w:color w:val="00188F"/>
        </w:rPr>
        <w:t>Percentagem de Período de Disponibilidade</w:t>
      </w:r>
      <w:r w:rsidRPr="00FF1FCB">
        <w:rPr>
          <w:rFonts w:ascii="Calibri" w:hAnsi="Calibri" w:cs="Calibri"/>
          <w:b/>
          <w:bCs/>
          <w:color w:val="00188F"/>
        </w:rPr>
        <w:t>:</w:t>
      </w:r>
      <w:r>
        <w:rPr>
          <w:rFonts w:ascii="Calibri" w:hAnsi="Calibri" w:cs="Calibri"/>
          <w:color w:val="000000" w:themeColor="text1"/>
        </w:rPr>
        <w:t xml:space="preserve"> A Percentagem de Período de Disponibilidade é calculada através da seguinte fórmula:</w:t>
      </w:r>
    </w:p>
    <w:p w14:paraId="4DD59EAA" w14:textId="77777777" w:rsidR="0015371D" w:rsidRPr="00917E39" w:rsidRDefault="0015371D" w:rsidP="00462EB3">
      <w:pPr>
        <w:pStyle w:val="ProductList-Body"/>
        <w:rPr>
          <w:rFonts w:ascii="Calibri" w:hAnsi="Calibri" w:cs="Calibri"/>
        </w:rPr>
      </w:pPr>
    </w:p>
    <w:p w14:paraId="480D048B" w14:textId="77777777" w:rsidR="00462EB3" w:rsidRPr="00EF7CF9" w:rsidRDefault="00000000" w:rsidP="00462EB3">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742B1A" w14:textId="77777777" w:rsidR="00462EB3" w:rsidRPr="006D4D6A" w:rsidRDefault="00462EB3" w:rsidP="00462EB3">
      <w:pPr>
        <w:pStyle w:val="ProductList-Body"/>
        <w:rPr>
          <w:rFonts w:ascii="Calibri" w:hAnsi="Calibri" w:cs="Calibri"/>
        </w:rPr>
      </w:pPr>
      <w:r>
        <w:rPr>
          <w:rFonts w:ascii="Calibri" w:hAnsi="Calibri" w:cs="Calibri"/>
          <w:b/>
          <w:bCs/>
          <w:color w:val="00188F"/>
        </w:rPr>
        <w:t>*</w:t>
      </w:r>
      <w:r>
        <w:rPr>
          <w:rFonts w:ascii="Calibri" w:hAnsi="Calibri" w:cs="Calibri"/>
        </w:rPr>
        <w:t>Os Minutos de Período de Indisponibilidade não incluem qualquer período de tempo em que a incapacidade de utilizar as funcionalidades do Fabric numa determinada capacidade se deva à política de limitação do Microsoft Fabric.</w:t>
      </w:r>
    </w:p>
    <w:p w14:paraId="21A65FC9" w14:textId="77777777" w:rsidR="00462EB3" w:rsidRPr="00E333C5" w:rsidRDefault="00462EB3" w:rsidP="00462EB3">
      <w:pPr>
        <w:pStyle w:val="ProductList-Body"/>
        <w:rPr>
          <w:rFonts w:ascii="Calibri" w:hAnsi="Calibri" w:cs="Calibri"/>
          <w:sz w:val="12"/>
          <w:szCs w:val="12"/>
        </w:rPr>
      </w:pPr>
    </w:p>
    <w:p w14:paraId="06B5659C" w14:textId="77777777" w:rsidR="00462EB3" w:rsidRPr="00917E39" w:rsidRDefault="00462EB3" w:rsidP="00462EB3">
      <w:pPr>
        <w:pStyle w:val="ProductList-Body"/>
        <w:rPr>
          <w:rFonts w:ascii="Calibri" w:hAnsi="Calibri" w:cs="Calibri"/>
          <w:b/>
        </w:rPr>
      </w:pPr>
      <w:r>
        <w:rPr>
          <w:rFonts w:ascii="Calibri" w:hAnsi="Calibri" w:cs="Calibri"/>
          <w:b/>
          <w:color w:val="00188F"/>
        </w:rPr>
        <w:t>Crédito de Serviço</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2EB3" w:rsidRPr="00B44CF9" w14:paraId="53477AAD" w14:textId="77777777" w:rsidTr="00710B68">
        <w:trPr>
          <w:tblHeader/>
        </w:trPr>
        <w:tc>
          <w:tcPr>
            <w:tcW w:w="5400" w:type="dxa"/>
            <w:shd w:val="clear" w:color="auto" w:fill="0072C6"/>
          </w:tcPr>
          <w:p w14:paraId="7807BF00" w14:textId="77777777" w:rsidR="00462EB3" w:rsidRPr="00EF7CF9" w:rsidRDefault="00462EB3" w:rsidP="00710B68">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75F14" w14:textId="77777777" w:rsidR="00462EB3" w:rsidRPr="00EF7CF9" w:rsidRDefault="00462EB3" w:rsidP="00710B68">
            <w:pPr>
              <w:pStyle w:val="ProductList-OfferingBody"/>
              <w:jc w:val="center"/>
              <w:rPr>
                <w:color w:val="FFFFFF" w:themeColor="background1"/>
              </w:rPr>
            </w:pPr>
            <w:r>
              <w:rPr>
                <w:color w:val="FFFFFF" w:themeColor="background1"/>
              </w:rPr>
              <w:t>Crédito de Serviço</w:t>
            </w:r>
          </w:p>
        </w:tc>
      </w:tr>
      <w:tr w:rsidR="00462EB3" w:rsidRPr="00B44CF9" w14:paraId="2667F2EF" w14:textId="77777777" w:rsidTr="00710B68">
        <w:tc>
          <w:tcPr>
            <w:tcW w:w="5400" w:type="dxa"/>
          </w:tcPr>
          <w:p w14:paraId="783A14B6" w14:textId="77777777" w:rsidR="00462EB3" w:rsidRPr="00EF7CF9" w:rsidRDefault="00462EB3" w:rsidP="00710B68">
            <w:pPr>
              <w:pStyle w:val="ProductList-OfferingBody"/>
              <w:jc w:val="center"/>
            </w:pPr>
            <w:r>
              <w:t>&lt; 99,9%</w:t>
            </w:r>
          </w:p>
        </w:tc>
        <w:tc>
          <w:tcPr>
            <w:tcW w:w="5400" w:type="dxa"/>
          </w:tcPr>
          <w:p w14:paraId="67399076" w14:textId="77777777" w:rsidR="00462EB3" w:rsidRPr="00EF7CF9" w:rsidRDefault="00462EB3" w:rsidP="00710B68">
            <w:pPr>
              <w:pStyle w:val="ProductList-OfferingBody"/>
              <w:jc w:val="center"/>
            </w:pPr>
            <w:r>
              <w:t>10%</w:t>
            </w:r>
          </w:p>
        </w:tc>
      </w:tr>
      <w:tr w:rsidR="00462EB3" w:rsidRPr="00B44CF9" w14:paraId="5306862D" w14:textId="77777777" w:rsidTr="00710B68">
        <w:tc>
          <w:tcPr>
            <w:tcW w:w="5400" w:type="dxa"/>
          </w:tcPr>
          <w:p w14:paraId="7CDF7C29" w14:textId="77777777" w:rsidR="00462EB3" w:rsidRPr="00EF7CF9" w:rsidRDefault="00462EB3" w:rsidP="00710B68">
            <w:pPr>
              <w:pStyle w:val="ProductList-OfferingBody"/>
              <w:jc w:val="center"/>
            </w:pPr>
            <w:r>
              <w:t>&lt; 99%</w:t>
            </w:r>
          </w:p>
        </w:tc>
        <w:tc>
          <w:tcPr>
            <w:tcW w:w="5400" w:type="dxa"/>
          </w:tcPr>
          <w:p w14:paraId="24AB19B9" w14:textId="77777777" w:rsidR="00462EB3" w:rsidRPr="00EF7CF9" w:rsidRDefault="00462EB3" w:rsidP="00710B68">
            <w:pPr>
              <w:pStyle w:val="ProductList-OfferingBody"/>
              <w:jc w:val="center"/>
            </w:pPr>
            <w:r>
              <w:t>25%</w:t>
            </w:r>
          </w:p>
        </w:tc>
      </w:tr>
    </w:tbl>
    <w:p w14:paraId="3C56607D" w14:textId="77777777" w:rsidR="00462EB3" w:rsidRPr="00EF7CF9" w:rsidRDefault="00462EB3" w:rsidP="00462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39C090" w14:textId="2381B0DD" w:rsidR="00CA66E5" w:rsidRPr="00EF7CF9" w:rsidRDefault="00CA66E5" w:rsidP="00A45F33">
      <w:pPr>
        <w:pStyle w:val="ProductList-Offering2Heading"/>
        <w:keepNext/>
        <w:keepLines/>
        <w:tabs>
          <w:tab w:val="clear" w:pos="360"/>
          <w:tab w:val="clear" w:pos="720"/>
          <w:tab w:val="clear" w:pos="1080"/>
        </w:tabs>
        <w:outlineLvl w:val="2"/>
      </w:pPr>
      <w:bookmarkStart w:id="324" w:name="_Toc182409695"/>
      <w:r>
        <w:t>Microsoft Genomics</w:t>
      </w:r>
      <w:bookmarkEnd w:id="321"/>
      <w:bookmarkEnd w:id="324"/>
    </w:p>
    <w:p w14:paraId="0D9D2ADC" w14:textId="77777777" w:rsidR="00CA66E5" w:rsidRPr="00F2068A" w:rsidRDefault="00CA66E5" w:rsidP="00A45F33">
      <w:pPr>
        <w:pStyle w:val="ProductList-Body"/>
        <w:keepNext/>
        <w:keepLines/>
        <w:rPr>
          <w:rFonts w:cstheme="minorHAnsi"/>
          <w:b/>
          <w:color w:val="00188F"/>
          <w:szCs w:val="18"/>
        </w:rPr>
      </w:pPr>
      <w:r w:rsidRPr="00F2068A">
        <w:rPr>
          <w:rFonts w:cstheme="minorHAnsi"/>
          <w:b/>
          <w:color w:val="00188F"/>
          <w:szCs w:val="18"/>
        </w:rPr>
        <w:t>Definições Adicionais</w:t>
      </w:r>
      <w:r w:rsidRPr="00473DD3">
        <w:rPr>
          <w:rFonts w:cstheme="minorHAnsi"/>
          <w:b/>
          <w:color w:val="00188F"/>
          <w:szCs w:val="18"/>
        </w:rPr>
        <w:t>:</w:t>
      </w:r>
    </w:p>
    <w:p w14:paraId="6181E587" w14:textId="60CF2B12" w:rsidR="00CA66E5" w:rsidRPr="006F3CBD" w:rsidRDefault="00380305" w:rsidP="00F01ED6">
      <w:pPr>
        <w:spacing w:after="0" w:line="240" w:lineRule="auto"/>
        <w:rPr>
          <w:rFonts w:cstheme="minorHAnsi"/>
          <w:strike/>
          <w:sz w:val="18"/>
          <w:szCs w:val="18"/>
        </w:rPr>
      </w:pPr>
      <w:r>
        <w:rPr>
          <w:rFonts w:cstheme="minorHAnsi"/>
          <w:sz w:val="18"/>
          <w:szCs w:val="18"/>
        </w:rPr>
        <w:t>“</w:t>
      </w:r>
      <w:r w:rsidR="00CA66E5" w:rsidRPr="00F2068A">
        <w:rPr>
          <w:rFonts w:eastAsiaTheme="minorEastAsia" w:cstheme="minorHAnsi"/>
          <w:b/>
          <w:color w:val="00188F"/>
          <w:sz w:val="18"/>
          <w:szCs w:val="18"/>
        </w:rPr>
        <w:t>Máximo de Minutos Disponíveis</w:t>
      </w:r>
      <w:r>
        <w:rPr>
          <w:rFonts w:cstheme="minorHAnsi"/>
          <w:sz w:val="18"/>
          <w:szCs w:val="18"/>
        </w:rPr>
        <w:t>”</w:t>
      </w:r>
      <w:r w:rsidR="00CA66E5" w:rsidRPr="00F2068A">
        <w:rPr>
          <w:rFonts w:cstheme="minorHAnsi"/>
          <w:sz w:val="18"/>
          <w:szCs w:val="18"/>
        </w:rPr>
        <w:t xml:space="preserve"> é o número total de minutos acumulados para todas as contas do Microsoft Genomics criadas pelo Cliente e</w:t>
      </w:r>
      <w:r w:rsidR="005E5DC2">
        <w:rPr>
          <w:rFonts w:cstheme="minorHAnsi"/>
          <w:sz w:val="18"/>
          <w:szCs w:val="18"/>
        </w:rPr>
        <w:t> </w:t>
      </w:r>
      <w:r w:rsidR="00CA66E5" w:rsidRPr="00F2068A">
        <w:rPr>
          <w:rFonts w:cstheme="minorHAnsi"/>
          <w:sz w:val="18"/>
          <w:szCs w:val="18"/>
        </w:rPr>
        <w:t>ativas durante um Período Aplicável para uma determinada Subscrição do Microsoft Azure.</w:t>
      </w:r>
    </w:p>
    <w:p w14:paraId="4F4F614E" w14:textId="579BD7E0" w:rsidR="00CA66E5" w:rsidRPr="006F3CBD" w:rsidRDefault="00380305" w:rsidP="00F01ED6">
      <w:pPr>
        <w:spacing w:after="0" w:line="240" w:lineRule="auto"/>
        <w:rPr>
          <w:rFonts w:cstheme="minorHAnsi"/>
          <w:sz w:val="18"/>
          <w:szCs w:val="18"/>
        </w:rPr>
      </w:pPr>
      <w:r>
        <w:rPr>
          <w:rFonts w:cstheme="minorHAnsi"/>
          <w:sz w:val="18"/>
          <w:szCs w:val="18"/>
        </w:rPr>
        <w:t>“</w:t>
      </w:r>
      <w:r w:rsidR="00CA66E5" w:rsidRPr="00F2068A">
        <w:rPr>
          <w:rFonts w:cstheme="minorHAnsi"/>
          <w:b/>
          <w:color w:val="00188F"/>
          <w:sz w:val="18"/>
          <w:szCs w:val="18"/>
        </w:rPr>
        <w:t>Período de Indisponibilidade</w:t>
      </w:r>
      <w:r>
        <w:rPr>
          <w:rFonts w:cstheme="minorHAnsi"/>
          <w:sz w:val="18"/>
          <w:szCs w:val="18"/>
        </w:rPr>
        <w:t>”</w:t>
      </w:r>
      <w:r w:rsidR="00CA66E5" w:rsidRPr="00F2068A">
        <w:rPr>
          <w:rFonts w:cstheme="minorHAnsi"/>
          <w:sz w:val="18"/>
          <w:szCs w:val="18"/>
        </w:rPr>
        <w:t xml:space="preserve"> é o número total de minutos no Máximo de Minutos Disponíveis durante o qual o Microsoft Genomics está indisponível. Um minuto é considerado indisponível se todas as tentativas contínuas para enviar pedidos autenticados da API REST do serviço Genomics nesse minuto devolverem um Código de Erro ou não responderem com uma confirmação nesse minuto. </w:t>
      </w:r>
    </w:p>
    <w:p w14:paraId="3354D171" w14:textId="523044E7" w:rsidR="00CA66E5" w:rsidRPr="006F3CBD" w:rsidRDefault="00CA66E5" w:rsidP="00F01ED6">
      <w:pPr>
        <w:spacing w:after="0" w:line="240" w:lineRule="auto"/>
        <w:rPr>
          <w:rFonts w:cstheme="minorHAnsi"/>
          <w:sz w:val="18"/>
          <w:szCs w:val="18"/>
        </w:rPr>
      </w:pPr>
      <w:r w:rsidRPr="00F2068A">
        <w:rPr>
          <w:rFonts w:cstheme="minorHAnsi"/>
          <w:sz w:val="18"/>
          <w:szCs w:val="18"/>
        </w:rPr>
        <w:t xml:space="preserve">A </w:t>
      </w:r>
      <w:r w:rsidR="00380305">
        <w:rPr>
          <w:rFonts w:cstheme="minorHAnsi"/>
          <w:sz w:val="18"/>
          <w:szCs w:val="18"/>
        </w:rPr>
        <w:t>“</w:t>
      </w:r>
      <w:r w:rsidRPr="00F2068A">
        <w:rPr>
          <w:rFonts w:cstheme="minorHAnsi"/>
          <w:b/>
          <w:color w:val="00188F"/>
          <w:sz w:val="18"/>
          <w:szCs w:val="18"/>
        </w:rPr>
        <w:t>Percentagem de Período de Disponibilidade</w:t>
      </w:r>
      <w:r w:rsidR="00380305">
        <w:rPr>
          <w:rFonts w:cstheme="minorHAnsi"/>
          <w:sz w:val="18"/>
          <w:szCs w:val="18"/>
        </w:rPr>
        <w:t>”</w:t>
      </w:r>
      <w:r w:rsidRPr="00F2068A">
        <w:rPr>
          <w:rFonts w:cstheme="minorHAnsi"/>
          <w:sz w:val="18"/>
          <w:szCs w:val="18"/>
        </w:rPr>
        <w:t xml:space="preserve"> para o Microsoft Genomics é calculada com a seguinte fórmula:</w:t>
      </w:r>
    </w:p>
    <w:p w14:paraId="57F3A94D" w14:textId="77777777" w:rsidR="00CA66E5" w:rsidRPr="006F3CBD" w:rsidRDefault="00CA66E5" w:rsidP="00F01ED6">
      <w:pPr>
        <w:spacing w:after="0" w:line="240" w:lineRule="auto"/>
        <w:rPr>
          <w:sz w:val="18"/>
          <w:szCs w:val="18"/>
        </w:rPr>
      </w:pPr>
    </w:p>
    <w:p w14:paraId="39B2D33A" w14:textId="79F54080" w:rsidR="00CA66E5" w:rsidRPr="007B6BC6" w:rsidRDefault="00000000" w:rsidP="00F01ED6">
      <w:pPr>
        <w:spacing w:line="240" w:lineRule="auto"/>
        <w:rPr>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C5E3343" w14:textId="77777777" w:rsidR="00CA66E5" w:rsidRPr="00EF7CF9" w:rsidRDefault="00CA66E5" w:rsidP="00F01ED6">
      <w:pPr>
        <w:pStyle w:val="ProductList-Body"/>
      </w:pPr>
      <w:r>
        <w:rPr>
          <w:b/>
          <w:color w:val="00188F"/>
        </w:rPr>
        <w:t>Crédito de Serviço</w:t>
      </w:r>
      <w:r w:rsidRPr="00473DD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907318" w:rsidRDefault="00AC48A7" w:rsidP="00840862">
            <w:pPr>
              <w:spacing w:before="20" w:after="20"/>
              <w:ind w:left="-14" w:right="-101"/>
              <w:jc w:val="center"/>
              <w:rPr>
                <w:sz w:val="16"/>
                <w:szCs w:val="16"/>
              </w:rPr>
            </w:pPr>
            <w:r w:rsidRPr="00907318">
              <w:rPr>
                <w:sz w:val="16"/>
                <w:szCs w:val="16"/>
              </w:rPr>
              <w:t xml:space="preserve">Percentagem de Período de Disponibilidade </w:t>
            </w:r>
          </w:p>
        </w:tc>
        <w:tc>
          <w:tcPr>
            <w:tcW w:w="2500" w:type="pct"/>
            <w:shd w:val="clear" w:color="auto" w:fill="0070C0"/>
          </w:tcPr>
          <w:p w14:paraId="316D33D9" w14:textId="77777777" w:rsidR="00CA66E5" w:rsidRPr="00907318" w:rsidRDefault="00CA66E5" w:rsidP="00840862">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907318">
              <w:rPr>
                <w:sz w:val="16"/>
                <w:szCs w:val="16"/>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907318" w:rsidRDefault="00CA66E5" w:rsidP="00840862">
            <w:pPr>
              <w:spacing w:before="20" w:after="20"/>
              <w:ind w:left="-14" w:right="-101"/>
              <w:jc w:val="center"/>
              <w:rPr>
                <w:b w:val="0"/>
                <w:sz w:val="16"/>
                <w:szCs w:val="16"/>
              </w:rPr>
            </w:pPr>
            <w:r w:rsidRPr="00907318">
              <w:rPr>
                <w:b w:val="0"/>
                <w:sz w:val="16"/>
                <w:szCs w:val="16"/>
              </w:rPr>
              <w:t>&lt; 99,9%</w:t>
            </w:r>
          </w:p>
        </w:tc>
        <w:tc>
          <w:tcPr>
            <w:tcW w:w="2500" w:type="pct"/>
          </w:tcPr>
          <w:p w14:paraId="79C5FA06"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907318" w:rsidRDefault="00CA66E5" w:rsidP="00840862">
            <w:pPr>
              <w:spacing w:before="20" w:after="20"/>
              <w:ind w:left="-14" w:right="-101"/>
              <w:jc w:val="center"/>
              <w:rPr>
                <w:b w:val="0"/>
                <w:sz w:val="16"/>
                <w:szCs w:val="16"/>
              </w:rPr>
            </w:pPr>
            <w:r w:rsidRPr="00907318">
              <w:rPr>
                <w:b w:val="0"/>
                <w:sz w:val="16"/>
                <w:szCs w:val="16"/>
              </w:rPr>
              <w:t>&lt; 99%</w:t>
            </w:r>
          </w:p>
        </w:tc>
        <w:tc>
          <w:tcPr>
            <w:tcW w:w="2500" w:type="pct"/>
          </w:tcPr>
          <w:p w14:paraId="06F0C832"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25%</w:t>
            </w:r>
          </w:p>
        </w:tc>
      </w:tr>
    </w:tbl>
    <w:bookmarkStart w:id="325" w:name="_Toc457821566"/>
    <w:bookmarkStart w:id="326" w:name="_Toc52348975"/>
    <w:bookmarkEnd w:id="322"/>
    <w:p w14:paraId="06B442D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F2ABD" w14:textId="77777777" w:rsidR="00D066A8" w:rsidRPr="00D066A8" w:rsidRDefault="00D066A8" w:rsidP="00F01ED6">
      <w:pPr>
        <w:pStyle w:val="ProductList-Offering2Heading"/>
        <w:keepNext/>
        <w:tabs>
          <w:tab w:val="clear" w:pos="360"/>
          <w:tab w:val="clear" w:pos="720"/>
          <w:tab w:val="clear" w:pos="1080"/>
        </w:tabs>
        <w:outlineLvl w:val="2"/>
      </w:pPr>
      <w:bookmarkStart w:id="327" w:name="_Toc182409696"/>
      <w:r>
        <w:t>Microsoft Sentinel</w:t>
      </w:r>
      <w:bookmarkEnd w:id="327"/>
    </w:p>
    <w:p w14:paraId="4587874D" w14:textId="77777777" w:rsidR="00D066A8" w:rsidRPr="00CB7596" w:rsidRDefault="00D066A8" w:rsidP="00F01ED6">
      <w:pPr>
        <w:keepNext/>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Definições Adicionais</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w:t>
      </w:r>
    </w:p>
    <w:p w14:paraId="7B5E6B83" w14:textId="34968C7E"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Máximo de Minutos Disponíveis</w:t>
      </w:r>
      <w:r w:rsidRPr="00CB7596">
        <w:rPr>
          <w:sz w:val="18"/>
          <w:szCs w:val="18"/>
        </w:rPr>
        <w:t>”</w:t>
      </w:r>
      <w:r w:rsidR="00D066A8" w:rsidRPr="00CB7596">
        <w:rPr>
          <w:rFonts w:ascii="Calibri" w:eastAsia="Times New Roman" w:hAnsi="Calibri" w:cs="Calibri"/>
          <w:color w:val="000000"/>
          <w:sz w:val="18"/>
          <w:szCs w:val="18"/>
          <w:bdr w:val="none" w:sz="0" w:space="0" w:color="auto" w:frame="1"/>
        </w:rPr>
        <w:t> é o número total de minutos durante os quais um determinado Microsoft Sentinel foi implementado pelo Cliente numa subscrição do Microsoft Azure durante um Período Aplicável.</w:t>
      </w:r>
    </w:p>
    <w:p w14:paraId="704F78EC" w14:textId="57D0CDD6"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Período de Indisponibilidade</w:t>
      </w:r>
      <w:r w:rsidRPr="00CB7596">
        <w:rPr>
          <w:sz w:val="18"/>
          <w:szCs w:val="18"/>
        </w:rPr>
        <w:t>”</w:t>
      </w:r>
      <w:r w:rsidR="00D066A8" w:rsidRPr="00CB7596">
        <w:rPr>
          <w:rFonts w:ascii="Calibri" w:eastAsia="Times New Roman" w:hAnsi="Calibri" w:cs="Calibri"/>
          <w:color w:val="000000"/>
          <w:sz w:val="18"/>
          <w:szCs w:val="18"/>
          <w:bdr w:val="none" w:sz="0" w:space="0" w:color="auto" w:frame="1"/>
        </w:rPr>
        <w:t> é número total de minutos dentro do Máximo de Minutos Disponíveis durante os quais os dados do Microsoft Sentinel estão indisponíveis. Um minuto será considerado indisponível para um determinado Azure Sentinel durante o que nenhuma operação de</w:t>
      </w:r>
      <w:r w:rsidR="003E7D23">
        <w:rPr>
          <w:rFonts w:ascii="Calibri" w:eastAsia="Times New Roman" w:hAnsi="Calibri" w:cs="Calibri"/>
          <w:color w:val="000000"/>
          <w:sz w:val="18"/>
          <w:szCs w:val="18"/>
          <w:bdr w:val="none" w:sz="0" w:space="0" w:color="auto" w:frame="1"/>
        </w:rPr>
        <w:t> </w:t>
      </w:r>
      <w:r w:rsidR="00D066A8" w:rsidRPr="00CB7596">
        <w:rPr>
          <w:rFonts w:ascii="Calibri" w:eastAsia="Times New Roman" w:hAnsi="Calibri" w:cs="Calibri"/>
          <w:color w:val="000000"/>
          <w:sz w:val="18"/>
          <w:szCs w:val="18"/>
          <w:bdr w:val="none" w:sz="0" w:space="0" w:color="auto" w:frame="1"/>
        </w:rPr>
        <w:t>HTTP resultou um Código de Êxito.</w:t>
      </w:r>
    </w:p>
    <w:p w14:paraId="33DEEB26" w14:textId="729F8402"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 xml:space="preserve">A </w:t>
      </w:r>
      <w:r w:rsidR="00380305" w:rsidRPr="00CB7596">
        <w:rPr>
          <w:sz w:val="18"/>
        </w:rPr>
        <w:t>“</w:t>
      </w:r>
      <w:r w:rsidRPr="00CB7596">
        <w:rPr>
          <w:rFonts w:ascii="Calibri" w:eastAsia="Times New Roman" w:hAnsi="Calibri" w:cs="Calibri"/>
          <w:b/>
          <w:bCs/>
          <w:color w:val="00188F"/>
          <w:sz w:val="18"/>
          <w:szCs w:val="18"/>
          <w:bdr w:val="none" w:sz="0" w:space="0" w:color="auto" w:frame="1"/>
        </w:rPr>
        <w:t>Percentagem de Disponibilidade para Consulta</w:t>
      </w:r>
      <w:r w:rsidR="00380305" w:rsidRPr="00CB7596">
        <w:rPr>
          <w:sz w:val="18"/>
        </w:rPr>
        <w:t>”</w:t>
      </w:r>
      <w:r w:rsidRPr="00CB7596">
        <w:rPr>
          <w:rFonts w:ascii="Calibri" w:eastAsia="Times New Roman" w:hAnsi="Calibri" w:cs="Calibri"/>
          <w:color w:val="000000"/>
          <w:sz w:val="18"/>
          <w:szCs w:val="18"/>
          <w:bdr w:val="none" w:sz="0" w:space="0" w:color="auto" w:frame="1"/>
        </w:rPr>
        <w:t> de um determinado Microsoft Sentinel é calculada como o Máximo de Minutos Disponíveis menos o Período de Indisponibilidade, dividido pelo Máximo de Minutos Disponíveis a multiplicar por 100.</w:t>
      </w:r>
    </w:p>
    <w:p w14:paraId="11D4D5FC" w14:textId="6E3E332A"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Percentagem de Disponibilidade para Consulta</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xml:space="preserve"> A Percentagem de Disponibilidade para Consulta é calculada utilizando a seguinte fórmula: </w:t>
      </w:r>
    </w:p>
    <w:p w14:paraId="2D21D2B4" w14:textId="470EA037" w:rsidR="00D066A8" w:rsidRPr="00D066A8" w:rsidRDefault="00D066A8" w:rsidP="00F01ED6">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F01ED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473DD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Disponibilidade para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907318">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90731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bookmarkStart w:id="328" w:name="ServiceSpecificTerms_Azure_MobileServ"/>
    <w:bookmarkEnd w:id="328"/>
    <w:p w14:paraId="6F2F42D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4451F0F" w14:textId="5CB1FCFB" w:rsidR="00CA66E5" w:rsidRPr="00EF7CF9" w:rsidRDefault="00CA66E5" w:rsidP="00F01ED6">
      <w:pPr>
        <w:pStyle w:val="ProductList-Offering2Heading"/>
        <w:tabs>
          <w:tab w:val="clear" w:pos="360"/>
          <w:tab w:val="clear" w:pos="720"/>
          <w:tab w:val="clear" w:pos="1080"/>
        </w:tabs>
        <w:outlineLvl w:val="2"/>
      </w:pPr>
      <w:bookmarkStart w:id="329" w:name="_Toc182409697"/>
      <w:r>
        <w:t>Serviços Móveis</w:t>
      </w:r>
      <w:bookmarkEnd w:id="325"/>
      <w:bookmarkEnd w:id="326"/>
      <w:bookmarkEnd w:id="329"/>
    </w:p>
    <w:p w14:paraId="4AC57098" w14:textId="77777777" w:rsidR="00CA66E5" w:rsidRPr="00EF7CF9" w:rsidRDefault="00CA66E5" w:rsidP="00F01ED6">
      <w:pPr>
        <w:pStyle w:val="ProductList-Body"/>
      </w:pPr>
      <w:r>
        <w:rPr>
          <w:b/>
          <w:color w:val="00188F"/>
        </w:rPr>
        <w:t>Definições Adicionais</w:t>
      </w:r>
      <w:r w:rsidRPr="00473DD3">
        <w:rPr>
          <w:b/>
          <w:color w:val="00188F"/>
        </w:rPr>
        <w:t>:</w:t>
      </w:r>
    </w:p>
    <w:p w14:paraId="137D5183" w14:textId="04190CEC" w:rsidR="00CA66E5" w:rsidRPr="00EF7CF9" w:rsidRDefault="00380305" w:rsidP="00F01ED6">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Transação que resultam num Código de Erro ou</w:t>
      </w:r>
      <w:r w:rsidR="00175C81">
        <w:rPr>
          <w:rFonts w:eastAsia="Times New Roman"/>
        </w:rPr>
        <w:t> </w:t>
      </w:r>
      <w:r w:rsidR="00CA66E5">
        <w:rPr>
          <w:rFonts w:eastAsia="Times New Roman"/>
        </w:rPr>
        <w:t>que não devolvem um Código de Êxito.</w:t>
      </w:r>
    </w:p>
    <w:p w14:paraId="49ACBD58" w14:textId="073DB131" w:rsidR="00CA66E5" w:rsidRPr="00EF7CF9" w:rsidRDefault="00CA66E5" w:rsidP="00F01ED6">
      <w:pPr>
        <w:pStyle w:val="ProductList-Body"/>
      </w:pPr>
      <w:r>
        <w:t xml:space="preserve">O </w:t>
      </w:r>
      <w:r w:rsidR="00380305">
        <w:t>“</w:t>
      </w:r>
      <w:r>
        <w:rPr>
          <w:b/>
          <w:color w:val="00188F"/>
        </w:rPr>
        <w:t>Total de Tentativas de Transação</w:t>
      </w:r>
      <w:r w:rsidR="00380305">
        <w:t>”</w:t>
      </w:r>
      <w:r>
        <w:t xml:space="preserve"> é </w:t>
      </w:r>
      <w:r>
        <w:rPr>
          <w:rFonts w:eastAsia="Times New Roman"/>
        </w:rPr>
        <w:t>o total de chamadas de API acumuladas efetuadas aos Serviços Móveis do Azure durante um Período Aplicável para uma determinada subscrição do Microsoft Azure para a qual os Serviços Móveis do Azure estão em execução</w:t>
      </w:r>
      <w:r>
        <w:t>.</w:t>
      </w:r>
    </w:p>
    <w:p w14:paraId="02E8C000" w14:textId="77777777" w:rsidR="00CA66E5" w:rsidRPr="00EF7CF9" w:rsidRDefault="00CA66E5" w:rsidP="00F01ED6">
      <w:pPr>
        <w:pStyle w:val="ProductList-Body"/>
      </w:pPr>
    </w:p>
    <w:p w14:paraId="361A6A1C" w14:textId="3C0B06C6" w:rsidR="00CA66E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E659129" w14:textId="77777777" w:rsidR="00CA66E5" w:rsidRPr="00EF7CF9" w:rsidRDefault="00CA66E5" w:rsidP="00F01ED6">
      <w:pPr>
        <w:pStyle w:val="ProductList-Body"/>
      </w:pPr>
    </w:p>
    <w:p w14:paraId="097EAC56" w14:textId="1E3A930D" w:rsidR="00CA66E5" w:rsidRPr="00EF7CF9" w:rsidRDefault="00000000" w:rsidP="00840862">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27F7E4" w14:textId="77777777" w:rsidR="00CA66E5" w:rsidRPr="00EF7CF9" w:rsidRDefault="00CA66E5" w:rsidP="00F01ED6">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F01ED6">
            <w:pPr>
              <w:pStyle w:val="ProductList-OfferingBody"/>
              <w:jc w:val="center"/>
            </w:pPr>
            <w:r>
              <w:t>&lt; 99,9%</w:t>
            </w:r>
          </w:p>
        </w:tc>
        <w:tc>
          <w:tcPr>
            <w:tcW w:w="5400" w:type="dxa"/>
          </w:tcPr>
          <w:p w14:paraId="660F6EB6" w14:textId="77777777" w:rsidR="00CA66E5" w:rsidRPr="00EF7CF9" w:rsidRDefault="00CA66E5" w:rsidP="00F01ED6">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F01ED6">
            <w:pPr>
              <w:pStyle w:val="ProductList-OfferingBody"/>
              <w:jc w:val="center"/>
            </w:pPr>
            <w:r>
              <w:t>&lt; 99%</w:t>
            </w:r>
          </w:p>
        </w:tc>
        <w:tc>
          <w:tcPr>
            <w:tcW w:w="5400" w:type="dxa"/>
          </w:tcPr>
          <w:p w14:paraId="74F40727" w14:textId="77777777" w:rsidR="00CA66E5" w:rsidRPr="00EF7CF9" w:rsidRDefault="00CA66E5" w:rsidP="00F01ED6">
            <w:pPr>
              <w:pStyle w:val="ProductList-OfferingBody"/>
              <w:jc w:val="center"/>
            </w:pPr>
            <w:r>
              <w:t>25%</w:t>
            </w:r>
          </w:p>
        </w:tc>
      </w:tr>
    </w:tbl>
    <w:p w14:paraId="441C7B1D" w14:textId="45E738D4" w:rsidR="00CA66E5" w:rsidRPr="00EF7CF9" w:rsidRDefault="00CA66E5" w:rsidP="00F16390">
      <w:pPr>
        <w:pStyle w:val="ProductList-Body"/>
        <w:keepNext/>
        <w:keepLines/>
        <w:spacing w:before="120"/>
      </w:pPr>
      <w:r>
        <w:rPr>
          <w:b/>
          <w:color w:val="00188F"/>
        </w:rPr>
        <w:t>Exceções de Nível de Serviço</w:t>
      </w:r>
      <w:r w:rsidRPr="00473DD3">
        <w:rPr>
          <w:b/>
          <w:color w:val="00188F"/>
        </w:rPr>
        <w:t>:</w:t>
      </w:r>
      <w:r>
        <w:t xml:space="preserve"> Os Níveis de Serviço e Créditos de Serviço são aplicáveis à utilização que o Cliente faz das camadas Standard e</w:t>
      </w:r>
      <w:r w:rsidR="005E5DC2">
        <w:t> </w:t>
      </w:r>
      <w:r>
        <w:t>Premium dos Serviços Móveis.</w:t>
      </w:r>
    </w:p>
    <w:p w14:paraId="13B9333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2F17D0F" w14:textId="08734EED" w:rsidR="004005AF" w:rsidRPr="00EF7CF9" w:rsidRDefault="004005AF" w:rsidP="00F01ED6">
      <w:pPr>
        <w:pStyle w:val="ProductList-Offering2Heading"/>
        <w:keepNext/>
        <w:tabs>
          <w:tab w:val="clear" w:pos="360"/>
          <w:tab w:val="clear" w:pos="720"/>
          <w:tab w:val="clear" w:pos="1080"/>
        </w:tabs>
        <w:outlineLvl w:val="2"/>
      </w:pPr>
      <w:bookmarkStart w:id="330" w:name="_Toc182409698"/>
      <w:r>
        <w:t>Azure Monitor</w:t>
      </w:r>
      <w:bookmarkEnd w:id="291"/>
      <w:bookmarkEnd w:id="317"/>
      <w:bookmarkEnd w:id="330"/>
    </w:p>
    <w:p w14:paraId="755788BB" w14:textId="092E983D" w:rsidR="004005AF" w:rsidRPr="004C3ABB" w:rsidRDefault="00EE6E3C" w:rsidP="00F01ED6">
      <w:pPr>
        <w:pStyle w:val="ProductList-Body"/>
        <w:rPr>
          <w:b/>
          <w:color w:val="00188F"/>
        </w:rPr>
      </w:pPr>
      <w:r>
        <w:rPr>
          <w:b/>
          <w:color w:val="00188F"/>
        </w:rPr>
        <w:t>Cálculo do Período de Disponibilidade e Níveis de Serviço para Alertas do Azure Monitor</w:t>
      </w:r>
    </w:p>
    <w:p w14:paraId="3A25576F" w14:textId="77777777" w:rsidR="004005AF" w:rsidRPr="00ED4527" w:rsidRDefault="004005AF" w:rsidP="00F01ED6">
      <w:pPr>
        <w:pStyle w:val="ProductList-Body"/>
        <w:rPr>
          <w:b/>
          <w:color w:val="00188F"/>
        </w:rPr>
      </w:pPr>
      <w:r>
        <w:rPr>
          <w:b/>
          <w:color w:val="00188F"/>
        </w:rPr>
        <w:t>Definições Adicionais:</w:t>
      </w:r>
    </w:p>
    <w:p w14:paraId="45980D93" w14:textId="5F13A27B" w:rsidR="004005AF" w:rsidRPr="00ED4527" w:rsidRDefault="00380305" w:rsidP="00F01ED6">
      <w:pPr>
        <w:pStyle w:val="ProductList-Body"/>
        <w:rPr>
          <w:bCs/>
          <w:color w:val="000000" w:themeColor="text1"/>
        </w:rPr>
      </w:pPr>
      <w:r>
        <w:rPr>
          <w:bCs/>
          <w:color w:val="000000" w:themeColor="text1"/>
        </w:rPr>
        <w:t>“</w:t>
      </w:r>
      <w:r w:rsidR="004005AF">
        <w:rPr>
          <w:b/>
          <w:color w:val="00188F"/>
        </w:rPr>
        <w:t>Regra de Alerta</w:t>
      </w:r>
      <w:r>
        <w:rPr>
          <w:bCs/>
          <w:color w:val="000000" w:themeColor="text1"/>
        </w:rPr>
        <w:t>”</w:t>
      </w:r>
      <w:r w:rsidR="004005AF">
        <w:rPr>
          <w:bCs/>
          <w:color w:val="000000" w:themeColor="text1"/>
        </w:rPr>
        <w:t xml:space="preserve"> designa uma coleção de critérios de sinais utilizada para gerar alertas através da monitorização dos dados dos eventos já disponíveis para o Serviço de Alertas para análise.</w:t>
      </w:r>
    </w:p>
    <w:p w14:paraId="754D887B" w14:textId="7D31EE13" w:rsidR="004005AF" w:rsidRPr="00ED4527" w:rsidRDefault="00380305" w:rsidP="00F01ED6">
      <w:pPr>
        <w:pStyle w:val="ProductList-Body"/>
        <w:rPr>
          <w:bCs/>
          <w:color w:val="000000" w:themeColor="text1"/>
        </w:rPr>
      </w:pPr>
      <w:r>
        <w:rPr>
          <w:bCs/>
          <w:color w:val="000000" w:themeColor="text1"/>
        </w:rPr>
        <w:t>“</w:t>
      </w:r>
      <w:r w:rsidR="004005AF">
        <w:rPr>
          <w:b/>
          <w:color w:val="00188F"/>
        </w:rPr>
        <w:t>Máximo de Minutos Disponíveis</w:t>
      </w:r>
      <w:r>
        <w:rPr>
          <w:bCs/>
          <w:color w:val="000000" w:themeColor="text1"/>
        </w:rPr>
        <w:t>”</w:t>
      </w:r>
      <w:r w:rsidR="004005AF">
        <w:rPr>
          <w:bCs/>
          <w:color w:val="000000" w:themeColor="text1"/>
        </w:rPr>
        <w:t xml:space="preserve"> designa o número total de minutos durante os quais as Regras de Alertas são implementadas pelo Cliente numa determinada subscrição do Microsoft Azure durante um Período Aplicável.</w:t>
      </w:r>
    </w:p>
    <w:p w14:paraId="3A79CCD9" w14:textId="6724E001" w:rsidR="004005AF" w:rsidRPr="00ED4527" w:rsidRDefault="00380305" w:rsidP="00F01ED6">
      <w:pPr>
        <w:pStyle w:val="ProductList-Body"/>
        <w:rPr>
          <w:bCs/>
          <w:color w:val="000000" w:themeColor="text1"/>
        </w:rPr>
      </w:pPr>
      <w:r>
        <w:rPr>
          <w:bCs/>
          <w:color w:val="000000" w:themeColor="text1"/>
        </w:rPr>
        <w:t>“</w:t>
      </w:r>
      <w:r w:rsidR="004005AF">
        <w:rPr>
          <w:b/>
          <w:color w:val="00188F"/>
        </w:rPr>
        <w:t>Período de Indisponibilidade</w:t>
      </w:r>
      <w:r>
        <w:rPr>
          <w:bCs/>
          <w:color w:val="000000" w:themeColor="text1"/>
        </w:rPr>
        <w:t>”</w:t>
      </w:r>
      <w:r w:rsidR="004005AF">
        <w:rPr>
          <w:bCs/>
          <w:color w:val="000000" w:themeColor="text1"/>
        </w:rPr>
        <w:t xml:space="preserve"> designa o número total de minutos durante o Máximo de Minutos Disponíveis durante os quais a Regra de Alerta está indisponível. Um minuto é considerado indisponível para uma determinada Regra de Alertas se todas as tentativas contínuas para analisar sinais de telemetria para recursos definidos na Regra de Alertas nesse minuto devolverem um Código de Erro ou não resultarem num Código de Êxito num prazo de cinco minutos a partir da hora inicial da Regra de Alertas agendada.</w:t>
      </w:r>
    </w:p>
    <w:p w14:paraId="6DB4658A" w14:textId="399FBD01" w:rsidR="004005AF" w:rsidRDefault="004005AF" w:rsidP="00F01ED6">
      <w:pPr>
        <w:pStyle w:val="ProductList-Body"/>
        <w:rPr>
          <w:bCs/>
          <w:color w:val="000000" w:themeColor="text1"/>
        </w:rPr>
      </w:pPr>
      <w:r>
        <w:t xml:space="preserve">A </w:t>
      </w:r>
      <w:r w:rsidR="00380305">
        <w:rPr>
          <w:bCs/>
          <w:color w:val="000000" w:themeColor="text1"/>
        </w:rPr>
        <w:t>“</w:t>
      </w:r>
      <w:r>
        <w:rPr>
          <w:b/>
          <w:color w:val="00188F"/>
        </w:rPr>
        <w:t>Percentagem de Período de Disponibilidade</w:t>
      </w:r>
      <w:r w:rsidR="00380305">
        <w:rPr>
          <w:bCs/>
          <w:color w:val="000000" w:themeColor="text1"/>
        </w:rPr>
        <w:t>”</w:t>
      </w:r>
      <w:r>
        <w:rPr>
          <w:bCs/>
          <w:color w:val="000000" w:themeColor="text1"/>
        </w:rPr>
        <w:t xml:space="preserve"> é calculada como o Máximo de Minutos Disponíveis menos o Período de Indisponibilidade a</w:t>
      </w:r>
      <w:r w:rsidR="00B81749">
        <w:rPr>
          <w:bCs/>
          <w:color w:val="000000" w:themeColor="text1"/>
        </w:rPr>
        <w:t> </w:t>
      </w:r>
      <w:r>
        <w:rPr>
          <w:bCs/>
          <w:color w:val="000000" w:themeColor="text1"/>
        </w:rPr>
        <w:t>dividir pelo Máximo de Minutos Disponíveis multiplicado por 100.</w:t>
      </w:r>
    </w:p>
    <w:p w14:paraId="3CA84EA0" w14:textId="0B513C5E" w:rsidR="004005AF" w:rsidRPr="00ED4527" w:rsidRDefault="00AC48A7" w:rsidP="00F01ED6">
      <w:pPr>
        <w:pStyle w:val="ProductList-Body"/>
        <w:rPr>
          <w:bCs/>
          <w:color w:val="000000" w:themeColor="text1"/>
        </w:rPr>
      </w:pPr>
      <w:r>
        <w:rPr>
          <w:bCs/>
          <w:color w:val="000000" w:themeColor="text1"/>
        </w:rPr>
        <w:t>A Percentagem de Período de Disponibilidade é representada pela seguinte fórmula:</w:t>
      </w:r>
    </w:p>
    <w:p w14:paraId="1FDD34C2" w14:textId="77777777" w:rsidR="004005AF" w:rsidRDefault="004005AF" w:rsidP="00F01ED6">
      <w:pPr>
        <w:pStyle w:val="ProductList-Body"/>
        <w:rPr>
          <w:bCs/>
          <w:color w:val="000000" w:themeColor="text1"/>
        </w:rPr>
      </w:pPr>
    </w:p>
    <w:p w14:paraId="043DA7C9" w14:textId="3E9DCA3F"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5A6B10" w14:textId="77777777" w:rsidR="004005AF" w:rsidRDefault="004005AF" w:rsidP="00F01ED6">
      <w:pPr>
        <w:pStyle w:val="ProductList-Body"/>
        <w:keepNext/>
      </w:pPr>
      <w:r>
        <w:rPr>
          <w:b/>
          <w:color w:val="00188F"/>
        </w:rPr>
        <w:t>Os seguintes Níveis de Serviço e Créditos de Serviço são aplicáveis à utilização de Alertas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C9F177C"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F01ED6">
            <w:pPr>
              <w:pStyle w:val="ProductList-OfferingBody"/>
              <w:jc w:val="center"/>
            </w:pPr>
            <w:r>
              <w:t>&lt; 99,9%</w:t>
            </w:r>
          </w:p>
        </w:tc>
        <w:tc>
          <w:tcPr>
            <w:tcW w:w="5400" w:type="dxa"/>
          </w:tcPr>
          <w:p w14:paraId="7A591C97" w14:textId="77777777" w:rsidR="004005AF" w:rsidRPr="0076238C" w:rsidRDefault="004005AF" w:rsidP="00F01ED6">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F01ED6">
            <w:pPr>
              <w:pStyle w:val="ProductList-OfferingBody"/>
              <w:jc w:val="center"/>
            </w:pPr>
            <w:r>
              <w:t>&lt; 99%</w:t>
            </w:r>
          </w:p>
        </w:tc>
        <w:tc>
          <w:tcPr>
            <w:tcW w:w="5400" w:type="dxa"/>
          </w:tcPr>
          <w:p w14:paraId="65BBE6E6" w14:textId="77777777" w:rsidR="004005AF" w:rsidRPr="0076238C" w:rsidRDefault="004005AF" w:rsidP="00F01ED6">
            <w:pPr>
              <w:pStyle w:val="ProductList-OfferingBody"/>
              <w:jc w:val="center"/>
            </w:pPr>
            <w:r>
              <w:t>25%</w:t>
            </w:r>
          </w:p>
        </w:tc>
      </w:tr>
    </w:tbl>
    <w:p w14:paraId="0D0EEF5C" w14:textId="0B79C771" w:rsidR="004005AF" w:rsidRPr="00CA08CF" w:rsidRDefault="00EE6E3C" w:rsidP="00907318">
      <w:pPr>
        <w:pStyle w:val="ProductList-Body"/>
        <w:spacing w:before="120"/>
        <w:rPr>
          <w:b/>
          <w:color w:val="00188F"/>
        </w:rPr>
      </w:pPr>
      <w:r>
        <w:rPr>
          <w:b/>
          <w:color w:val="00188F"/>
        </w:rPr>
        <w:t>Cálculo do Período de Disponibilidade e Níveis de Serviço para a Distribuição de Notificações do Azure Monitor</w:t>
      </w:r>
    </w:p>
    <w:p w14:paraId="1101548C" w14:textId="77777777" w:rsidR="004005AF" w:rsidRPr="00EF7CF9" w:rsidRDefault="004005AF" w:rsidP="00F01ED6">
      <w:pPr>
        <w:pStyle w:val="ProductList-Body"/>
      </w:pPr>
      <w:r>
        <w:rPr>
          <w:b/>
          <w:color w:val="00188F"/>
        </w:rPr>
        <w:t>Definições Adicionais</w:t>
      </w:r>
      <w:r w:rsidRPr="00473DD3">
        <w:rPr>
          <w:b/>
          <w:color w:val="00188F"/>
        </w:rPr>
        <w:t>:</w:t>
      </w:r>
    </w:p>
    <w:p w14:paraId="7B153434" w14:textId="6C766EE7" w:rsidR="004005AF" w:rsidRPr="00EF7CF9" w:rsidRDefault="00380305" w:rsidP="00F01ED6">
      <w:pPr>
        <w:pStyle w:val="ProductList-Body"/>
      </w:pPr>
      <w:r>
        <w:t>“</w:t>
      </w:r>
      <w:r w:rsidR="004005AF">
        <w:rPr>
          <w:b/>
          <w:color w:val="00188F"/>
        </w:rPr>
        <w:t>Grupo de Ação</w:t>
      </w:r>
      <w:r>
        <w:t>”</w:t>
      </w:r>
      <w:r w:rsidR="004005AF">
        <w:t xml:space="preserve"> é uma coleção de ações que define os métodos de distribuição de notificações preferenciais.</w:t>
      </w:r>
    </w:p>
    <w:p w14:paraId="7780BBAE" w14:textId="1D83AF0B" w:rsidR="004005AF" w:rsidRPr="00EF7CF9"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que os Grupos de Ação são implementados pelo</w:t>
      </w:r>
      <w:r w:rsidR="00FE06B4">
        <w:t> </w:t>
      </w:r>
      <w:r w:rsidR="004005AF">
        <w:t>Cliente numa determinada subscrição do Microsoft Azure durante um Período Aplicável.</w:t>
      </w:r>
    </w:p>
    <w:p w14:paraId="20ACE7BE" w14:textId="1E28BE3A" w:rsidR="004005AF" w:rsidRPr="00EF7CF9" w:rsidRDefault="004005AF" w:rsidP="00F01ED6">
      <w:pPr>
        <w:pStyle w:val="ProductList-Body"/>
      </w:pPr>
      <w:r>
        <w:rPr>
          <w:b/>
          <w:color w:val="00188F"/>
        </w:rPr>
        <w:t>Período de Indisponibilidade</w:t>
      </w:r>
      <w:r w:rsidRPr="00473DD3">
        <w:rPr>
          <w:b/>
          <w:color w:val="00188F"/>
        </w:rPr>
        <w:t>:</w:t>
      </w:r>
      <w:r>
        <w:t xml:space="preserve"> é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24431C4C" w14:textId="21298850" w:rsidR="004005AF" w:rsidRPr="006F3CBD" w:rsidRDefault="00AC48A7" w:rsidP="00F01ED6">
      <w:pPr>
        <w:spacing w:after="0" w:line="240" w:lineRule="auto"/>
        <w:rPr>
          <w:sz w:val="18"/>
          <w:szCs w:val="18"/>
        </w:rPr>
      </w:pPr>
      <w:r>
        <w:rPr>
          <w:b/>
          <w:color w:val="00188F"/>
          <w:sz w:val="18"/>
        </w:rPr>
        <w:t>Percentagem de Período de Disponibilidade</w:t>
      </w:r>
      <w:r w:rsidRPr="00473DD3">
        <w:rPr>
          <w:b/>
          <w:color w:val="00188F"/>
          <w:sz w:val="18"/>
        </w:rPr>
        <w:t>:</w:t>
      </w:r>
      <w:r>
        <w:rPr>
          <w:b/>
          <w:color w:val="00188F"/>
          <w:sz w:val="18"/>
        </w:rPr>
        <w:t xml:space="preserve"> </w:t>
      </w:r>
      <w:r>
        <w:rPr>
          <w:sz w:val="18"/>
          <w:szCs w:val="18"/>
        </w:rPr>
        <w:t xml:space="preserve">é calculada como o Máximo de Minutos Disponíveis menos o Período de Indisponibilidade a dividir pelo Máximo de Minutos Disponíveis num Período Aplicável para uma determinada subscrição do Microsoft Azure. </w:t>
      </w:r>
    </w:p>
    <w:p w14:paraId="3DA152E5" w14:textId="515F2367" w:rsidR="004005AF" w:rsidRPr="006F3CBD" w:rsidRDefault="00AC48A7" w:rsidP="00F01ED6">
      <w:pPr>
        <w:spacing w:after="0" w:line="240" w:lineRule="auto"/>
        <w:rPr>
          <w:sz w:val="18"/>
          <w:szCs w:val="18"/>
        </w:rPr>
      </w:pPr>
      <w:r>
        <w:rPr>
          <w:sz w:val="18"/>
          <w:szCs w:val="18"/>
        </w:rPr>
        <w:t>A Percentagem de Período de Disponibilidade é representada pela seguinte fórmula:</w:t>
      </w:r>
    </w:p>
    <w:p w14:paraId="70F5F960" w14:textId="77777777" w:rsidR="004005AF" w:rsidRPr="00EF7CF9" w:rsidRDefault="004005AF" w:rsidP="00F01ED6">
      <w:pPr>
        <w:pStyle w:val="ProductList-Body"/>
      </w:pPr>
    </w:p>
    <w:p w14:paraId="276CBE14" w14:textId="26E0F776"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1C4D5D1" w14:textId="77777777" w:rsidR="004005AF" w:rsidRDefault="004005AF" w:rsidP="00F01ED6">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285DA2"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F01ED6">
            <w:pPr>
              <w:pStyle w:val="ProductList-OfferingBody"/>
              <w:jc w:val="center"/>
            </w:pPr>
            <w:r>
              <w:t>&lt; 99,9%</w:t>
            </w:r>
          </w:p>
        </w:tc>
        <w:tc>
          <w:tcPr>
            <w:tcW w:w="5400" w:type="dxa"/>
          </w:tcPr>
          <w:p w14:paraId="5247EC9A" w14:textId="77777777" w:rsidR="004005AF" w:rsidRPr="0076238C" w:rsidRDefault="004005AF" w:rsidP="00F01ED6">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F01ED6">
            <w:pPr>
              <w:pStyle w:val="ProductList-OfferingBody"/>
              <w:jc w:val="center"/>
            </w:pPr>
            <w:r>
              <w:t>&lt; 99%</w:t>
            </w:r>
          </w:p>
        </w:tc>
        <w:tc>
          <w:tcPr>
            <w:tcW w:w="5400" w:type="dxa"/>
          </w:tcPr>
          <w:p w14:paraId="3F7D8D79" w14:textId="77777777" w:rsidR="004005AF" w:rsidRPr="0076238C" w:rsidRDefault="004005AF" w:rsidP="00F01ED6">
            <w:pPr>
              <w:pStyle w:val="ProductList-OfferingBody"/>
              <w:jc w:val="center"/>
            </w:pPr>
            <w:r>
              <w:t>25%</w:t>
            </w:r>
          </w:p>
        </w:tc>
      </w:tr>
    </w:tbl>
    <w:p w14:paraId="4E525126" w14:textId="77777777" w:rsidR="004005AF" w:rsidRPr="00907318" w:rsidRDefault="004005AF" w:rsidP="00F01ED6">
      <w:pPr>
        <w:pStyle w:val="ProductList-Body"/>
        <w:rPr>
          <w:i/>
          <w:sz w:val="12"/>
          <w:szCs w:val="12"/>
        </w:rPr>
      </w:pPr>
    </w:p>
    <w:p w14:paraId="46FFFFE9" w14:textId="77777777" w:rsidR="004005AF" w:rsidRDefault="004005AF" w:rsidP="00F01ED6">
      <w:pPr>
        <w:pStyle w:val="ProductList-Body"/>
        <w:rPr>
          <w:i/>
          <w:szCs w:val="18"/>
        </w:rPr>
      </w:pPr>
      <w:r>
        <w:rPr>
          <w:i/>
          <w:szCs w:val="18"/>
        </w:rPr>
        <w:t>Consulte também Log Analytics e Application Insights.</w:t>
      </w:r>
    </w:p>
    <w:p w14:paraId="6776721E" w14:textId="77777777" w:rsidR="00BB635C" w:rsidRDefault="00BB635C" w:rsidP="00F01ED6">
      <w:pPr>
        <w:pStyle w:val="ProductList-Body"/>
        <w:rPr>
          <w:i/>
          <w:szCs w:val="18"/>
        </w:rPr>
      </w:pPr>
    </w:p>
    <w:p w14:paraId="2A7A805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Cálculo do Período de Disponibilidade Mensal e Níveis de Serviço para o serviço gerido Azure Monitor para Prometheus</w:t>
      </w:r>
    </w:p>
    <w:p w14:paraId="38996CEE" w14:textId="77777777" w:rsidR="00D65305" w:rsidRPr="00907318" w:rsidRDefault="00D65305" w:rsidP="00D65305">
      <w:pPr>
        <w:spacing w:after="0" w:line="240" w:lineRule="auto"/>
        <w:rPr>
          <w:rFonts w:cstheme="minorHAnsi"/>
          <w:b/>
          <w:color w:val="00188F"/>
          <w:sz w:val="12"/>
          <w:szCs w:val="12"/>
        </w:rPr>
      </w:pPr>
    </w:p>
    <w:p w14:paraId="70F4C79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Definições Adicionais:</w:t>
      </w:r>
    </w:p>
    <w:p w14:paraId="7998EF19" w14:textId="77777777" w:rsidR="00D65305" w:rsidRPr="00D65305" w:rsidRDefault="00D65305" w:rsidP="00D65305">
      <w:pPr>
        <w:spacing w:after="0" w:line="240" w:lineRule="auto"/>
        <w:rPr>
          <w:rFonts w:cstheme="minorHAnsi"/>
        </w:rPr>
      </w:pPr>
      <w:r w:rsidRPr="00D65305">
        <w:rPr>
          <w:rFonts w:cstheme="minorHAnsi"/>
          <w:b/>
          <w:color w:val="00188F"/>
          <w:sz w:val="18"/>
        </w:rPr>
        <w:t>“Máximo de Minutos Disponíveis”</w:t>
      </w:r>
      <w:r w:rsidRPr="00D65305">
        <w:rPr>
          <w:rFonts w:cstheme="minorHAnsi"/>
        </w:rPr>
        <w:t xml:space="preserve"> </w:t>
      </w:r>
      <w:r w:rsidRPr="00D65305">
        <w:rPr>
          <w:rFonts w:cstheme="minorHAnsi"/>
          <w:sz w:val="18"/>
        </w:rPr>
        <w:t>designa o número total de minutos durante os quais uma determinada área de trabalho do Azure Monitor foi implementada pelo Cliente numa determinada subscrição do Microsoft Azure durante um mês de faturação.</w:t>
      </w:r>
    </w:p>
    <w:p w14:paraId="7B1981CC"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Período de Indisponibilidade:</w:t>
      </w:r>
      <w:r w:rsidRPr="00D65305">
        <w:rPr>
          <w:rFonts w:cstheme="minorHAnsi"/>
        </w:rPr>
        <w:t xml:space="preserve"> </w:t>
      </w:r>
      <w:r w:rsidRPr="00D65305">
        <w:rPr>
          <w:rFonts w:cstheme="minorHAnsi"/>
          <w:sz w:val="18"/>
        </w:rPr>
        <w:t>designa o número total de minutos durante o Máximo de Minutos Disponíveis durante os quais os dados numa determinada área de trabalho do Azure Monitor estão indisponíveis. Um minuto é considerado indisponível para uma determinada área de trabalho do Azure Monitor se todas as tentativas contínuas para obter dados de métricas do Prometheus durante um minuto resultarem num Código de Erro ou não devolverem qualquer código HTTP no prazo de 60 segundos.</w:t>
      </w:r>
    </w:p>
    <w:p w14:paraId="1C9568B8"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Percentagem de Disponibilidade para Consulta Mensal:</w:t>
      </w:r>
      <w:r w:rsidRPr="00D65305">
        <w:rPr>
          <w:rFonts w:cstheme="minorHAnsi"/>
        </w:rPr>
        <w:t xml:space="preserve"> </w:t>
      </w:r>
      <w:r w:rsidRPr="00D65305">
        <w:rPr>
          <w:rFonts w:cstheme="minorHAnsi"/>
          <w:sz w:val="18"/>
        </w:rPr>
        <w:t>para uma determinada área de trabalho do Azure Monitor é calculada como o Máximo de Minutos Disponíveis menos o Período de Indisponibilidade, a dividir pelo Máximo de Minutos Disponíveis a multiplicar por 100.</w:t>
      </w:r>
    </w:p>
    <w:p w14:paraId="2ADF2D31" w14:textId="77777777" w:rsidR="00D65305" w:rsidRPr="00D65305" w:rsidRDefault="00D65305" w:rsidP="00D65305">
      <w:pPr>
        <w:spacing w:after="0" w:line="240" w:lineRule="auto"/>
        <w:rPr>
          <w:rFonts w:cstheme="minorHAnsi"/>
          <w:sz w:val="18"/>
        </w:rPr>
      </w:pPr>
    </w:p>
    <w:p w14:paraId="4ED57C2E" w14:textId="77777777" w:rsidR="00D65305" w:rsidRPr="00D65305" w:rsidRDefault="00D65305" w:rsidP="00D65305">
      <w:pPr>
        <w:spacing w:after="0" w:line="240" w:lineRule="auto"/>
        <w:rPr>
          <w:rFonts w:cstheme="minorHAnsi"/>
          <w:sz w:val="18"/>
        </w:rPr>
      </w:pPr>
      <w:r w:rsidRPr="00D65305">
        <w:rPr>
          <w:rFonts w:cstheme="minorHAnsi"/>
          <w:sz w:val="18"/>
        </w:rPr>
        <w:t>A Percentagem de Disponibilidade para Consulta Mensal é representada pela seguinte fórmula:</w:t>
      </w:r>
    </w:p>
    <w:p w14:paraId="6F09C035" w14:textId="77777777" w:rsidR="00D65305" w:rsidRDefault="00D65305" w:rsidP="00D65305">
      <w:pPr>
        <w:spacing w:after="0" w:line="240" w:lineRule="auto"/>
        <w:rPr>
          <w:sz w:val="18"/>
        </w:rPr>
      </w:pPr>
    </w:p>
    <w:p w14:paraId="641FA6BD" w14:textId="77777777" w:rsidR="00D65305" w:rsidRDefault="00000000" w:rsidP="00D653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C99AC" w14:textId="77777777" w:rsidR="00D65305" w:rsidRPr="00D65305" w:rsidRDefault="00D65305" w:rsidP="00D65305">
      <w:pPr>
        <w:pStyle w:val="ProductList-Body"/>
        <w:rPr>
          <w:rFonts w:cstheme="minorHAnsi"/>
        </w:rPr>
      </w:pPr>
      <w:r w:rsidRPr="00D65305">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5305" w14:paraId="4BE1F487"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B01C5F"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3D4DE3"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Crédito de Serviço</w:t>
            </w:r>
          </w:p>
        </w:tc>
      </w:tr>
      <w:tr w:rsidR="00D65305" w14:paraId="539DF918"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EAAA6"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56058" w14:textId="77777777" w:rsidR="00D65305" w:rsidRPr="00D65305" w:rsidRDefault="00D65305" w:rsidP="00EA2F1A">
            <w:pPr>
              <w:pStyle w:val="ProductList-OfferingBody"/>
              <w:spacing w:line="254" w:lineRule="auto"/>
              <w:jc w:val="center"/>
              <w:rPr>
                <w:rFonts w:cstheme="minorHAnsi"/>
              </w:rPr>
            </w:pPr>
            <w:r w:rsidRPr="00D65305">
              <w:rPr>
                <w:rFonts w:cstheme="minorHAnsi"/>
              </w:rPr>
              <w:t>10%</w:t>
            </w:r>
          </w:p>
        </w:tc>
      </w:tr>
      <w:tr w:rsidR="00D65305" w14:paraId="61596E1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9E17C"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C5518" w14:textId="77777777" w:rsidR="00D65305" w:rsidRPr="00D65305" w:rsidRDefault="00D65305" w:rsidP="00EA2F1A">
            <w:pPr>
              <w:pStyle w:val="ProductList-OfferingBody"/>
              <w:spacing w:line="254" w:lineRule="auto"/>
              <w:jc w:val="center"/>
              <w:rPr>
                <w:rFonts w:cstheme="minorHAnsi"/>
              </w:rPr>
            </w:pPr>
            <w:r w:rsidRPr="00D65305">
              <w:rPr>
                <w:rFonts w:cstheme="minorHAnsi"/>
              </w:rPr>
              <w:t>25%</w:t>
            </w:r>
          </w:p>
        </w:tc>
      </w:tr>
    </w:tbl>
    <w:bookmarkStart w:id="331" w:name="_Toc526859666"/>
    <w:bookmarkStart w:id="332" w:name="_Toc52348940"/>
    <w:bookmarkStart w:id="333" w:name="_Toc457821541"/>
    <w:bookmarkEnd w:id="148"/>
    <w:bookmarkEnd w:id="149"/>
    <w:p w14:paraId="0A19377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2DD07D7" w14:textId="4B1CB8C8" w:rsidR="005642C9" w:rsidRPr="005642C9" w:rsidRDefault="005642C9" w:rsidP="00F01ED6">
      <w:pPr>
        <w:pStyle w:val="ProductList-Offering2Heading"/>
        <w:keepNext/>
        <w:tabs>
          <w:tab w:val="clear" w:pos="360"/>
          <w:tab w:val="clear" w:pos="720"/>
          <w:tab w:val="clear" w:pos="1080"/>
        </w:tabs>
        <w:outlineLvl w:val="2"/>
      </w:pPr>
      <w:bookmarkStart w:id="334" w:name="_Toc182409699"/>
      <w:r>
        <w:t>Azure NetApp Files</w:t>
      </w:r>
      <w:bookmarkEnd w:id="334"/>
    </w:p>
    <w:p w14:paraId="74827AED" w14:textId="77777777" w:rsidR="005642C9" w:rsidRPr="005642C9" w:rsidRDefault="005642C9" w:rsidP="00F01ED6">
      <w:pPr>
        <w:pStyle w:val="ProductList-Body"/>
        <w:keepNext/>
        <w:rPr>
          <w:b/>
          <w:bCs/>
          <w:color w:val="00188F"/>
        </w:rPr>
      </w:pPr>
      <w:r>
        <w:rPr>
          <w:b/>
          <w:bCs/>
          <w:color w:val="00188F"/>
        </w:rPr>
        <w:t>Definições Adicionais</w:t>
      </w:r>
    </w:p>
    <w:p w14:paraId="4CB2BC4D" w14:textId="06F12C07" w:rsidR="005642C9" w:rsidRDefault="00380305" w:rsidP="00F01ED6">
      <w:pPr>
        <w:pStyle w:val="ProductList-Body"/>
      </w:pPr>
      <w:r>
        <w:t>“</w:t>
      </w:r>
      <w:r w:rsidR="005642C9">
        <w:rPr>
          <w:b/>
          <w:bCs/>
          <w:color w:val="00188F"/>
        </w:rPr>
        <w:t>Volume</w:t>
      </w:r>
      <w:r>
        <w:t>”</w:t>
      </w:r>
      <w:r w:rsidR="005642C9">
        <w:t xml:space="preserve"> é um recurso de armazenamento lógico nos Ficheiros Azure NetApp (Azure NetApp Files) que contém um sistema de ficheiros e</w:t>
      </w:r>
      <w:r w:rsidR="005E5DC2">
        <w:t> </w:t>
      </w:r>
      <w:r w:rsidR="005642C9">
        <w:t>é</w:t>
      </w:r>
      <w:r w:rsidR="005E5DC2">
        <w:t> </w:t>
      </w:r>
      <w:r w:rsidR="005642C9">
        <w:t>utilizado para armazenar dados.</w:t>
      </w:r>
    </w:p>
    <w:p w14:paraId="04EC7871" w14:textId="4F319DA9" w:rsidR="005642C9" w:rsidRDefault="00380305" w:rsidP="00F01ED6">
      <w:pPr>
        <w:pStyle w:val="ProductList-Body"/>
      </w:pPr>
      <w:r>
        <w:t>“</w:t>
      </w:r>
      <w:r w:rsidR="005642C9">
        <w:rPr>
          <w:b/>
          <w:bCs/>
          <w:color w:val="00188F"/>
        </w:rPr>
        <w:t>Conectividade do Volume</w:t>
      </w:r>
      <w:r>
        <w:t>”</w:t>
      </w:r>
      <w:r w:rsidR="005642C9">
        <w:t xml:space="preserve"> designa o tráfego de rede bidirecional entre o Volume e os outros endereços IP que utilizam os protocolos de rede TCP ou UDP, nos quais o Volume está configurado para o tráfego permitido.</w:t>
      </w:r>
    </w:p>
    <w:p w14:paraId="56808FB6" w14:textId="3A1C4DA1" w:rsidR="005642C9" w:rsidRDefault="00380305" w:rsidP="00F01ED6">
      <w:pPr>
        <w:pStyle w:val="ProductList-Body"/>
      </w:pPr>
      <w:r>
        <w:t>“</w:t>
      </w:r>
      <w:r w:rsidR="005642C9">
        <w:rPr>
          <w:b/>
          <w:bCs/>
          <w:color w:val="00188F"/>
        </w:rPr>
        <w:t>Máximo de Minutos Disponíveis</w:t>
      </w:r>
      <w:r>
        <w:t>”</w:t>
      </w:r>
      <w:r w:rsidR="005642C9">
        <w:t xml:space="preserve"> é o número total de minutos durante os quais um Volume foi implementado pelo Cliente numa determinada subscrição do Microsoft Azure durante um Período Aplicável.</w:t>
      </w:r>
    </w:p>
    <w:p w14:paraId="75EFEF7F" w14:textId="1A67D620" w:rsidR="005642C9" w:rsidRDefault="00380305" w:rsidP="00F01ED6">
      <w:pPr>
        <w:pStyle w:val="ProductList-Body"/>
      </w:pPr>
      <w:r>
        <w:t>“</w:t>
      </w:r>
      <w:r w:rsidR="005642C9">
        <w:rPr>
          <w:b/>
          <w:bCs/>
          <w:color w:val="00188F"/>
        </w:rPr>
        <w:t>Período de Indisponibilidade</w:t>
      </w:r>
      <w:r>
        <w:t>”</w:t>
      </w:r>
      <w:r w:rsidR="005642C9">
        <w:t xml:space="preserve"> é o total de minutos acumulados que fazem parte do Máximo de Minutos Disponíveis nos quais não há Conectividade do Volume na região Azure.</w:t>
      </w:r>
    </w:p>
    <w:p w14:paraId="436F399D" w14:textId="7A0442CD" w:rsidR="005642C9" w:rsidRDefault="00380305" w:rsidP="00F01ED6">
      <w:pPr>
        <w:pStyle w:val="ProductList-Body"/>
      </w:pPr>
      <w:r>
        <w:t>“</w:t>
      </w:r>
      <w:r w:rsidR="005642C9">
        <w:rPr>
          <w:b/>
          <w:bCs/>
          <w:color w:val="00188F"/>
        </w:rPr>
        <w:t>Percentagem de Período de Disponibilidade</w:t>
      </w:r>
      <w:r>
        <w:t>”</w:t>
      </w:r>
      <w:r w:rsidR="005642C9">
        <w:t xml:space="preserve"> A Percentagem de Período de Disponibilidade é calculada utilizando a seguinte fórmula:</w:t>
      </w:r>
    </w:p>
    <w:p w14:paraId="025F4CC5" w14:textId="77777777" w:rsidR="005642C9" w:rsidRPr="007C4E48" w:rsidRDefault="005642C9" w:rsidP="00F01ED6">
      <w:pPr>
        <w:pStyle w:val="ProductList-Body"/>
        <w:rPr>
          <w:sz w:val="12"/>
          <w:szCs w:val="12"/>
        </w:rPr>
      </w:pPr>
    </w:p>
    <w:p w14:paraId="1D10D425" w14:textId="7EF617A2" w:rsidR="005642C9" w:rsidRPr="00EF7CF9" w:rsidRDefault="00000000" w:rsidP="004D0C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1036C63" w14:textId="43D36FA6" w:rsidR="005642C9" w:rsidRPr="005642C9" w:rsidRDefault="005642C9"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8C4DD" w14:textId="77777777" w:rsidR="005642C9" w:rsidRPr="00EF7CF9" w:rsidRDefault="005642C9" w:rsidP="00F01ED6">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F01ED6">
            <w:pPr>
              <w:pStyle w:val="ProductList-OfferingBody"/>
              <w:jc w:val="center"/>
            </w:pPr>
            <w:r>
              <w:t>&lt; 99,99%</w:t>
            </w:r>
          </w:p>
        </w:tc>
        <w:tc>
          <w:tcPr>
            <w:tcW w:w="5400" w:type="dxa"/>
          </w:tcPr>
          <w:p w14:paraId="1E279DA4" w14:textId="77777777" w:rsidR="005642C9" w:rsidRPr="00EF7CF9" w:rsidRDefault="005642C9" w:rsidP="00F01ED6">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F01ED6">
            <w:pPr>
              <w:pStyle w:val="ProductList-OfferingBody"/>
              <w:jc w:val="center"/>
            </w:pPr>
            <w:r>
              <w:t>&lt; 99%</w:t>
            </w:r>
          </w:p>
        </w:tc>
        <w:tc>
          <w:tcPr>
            <w:tcW w:w="5400" w:type="dxa"/>
          </w:tcPr>
          <w:p w14:paraId="6271DB67" w14:textId="77777777" w:rsidR="005642C9" w:rsidRPr="00EF7CF9" w:rsidRDefault="005642C9" w:rsidP="00F01ED6">
            <w:pPr>
              <w:pStyle w:val="ProductList-OfferingBody"/>
              <w:jc w:val="center"/>
            </w:pPr>
            <w:r>
              <w:t>25%</w:t>
            </w:r>
          </w:p>
        </w:tc>
      </w:tr>
    </w:tbl>
    <w:bookmarkStart w:id="335" w:name="_Toc52348976"/>
    <w:bookmarkStart w:id="336" w:name="NetworkWatcher"/>
    <w:bookmarkStart w:id="337" w:name="_Toc457821568"/>
    <w:p w14:paraId="6D32C52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F611FD" w14:textId="54E874B7" w:rsidR="00430979" w:rsidRPr="00EF7CF9" w:rsidRDefault="00430979" w:rsidP="00F01ED6">
      <w:pPr>
        <w:pStyle w:val="ProductList-Offering2Heading"/>
        <w:keepNext/>
        <w:tabs>
          <w:tab w:val="clear" w:pos="360"/>
          <w:tab w:val="clear" w:pos="720"/>
          <w:tab w:val="clear" w:pos="1080"/>
        </w:tabs>
        <w:outlineLvl w:val="2"/>
      </w:pPr>
      <w:bookmarkStart w:id="338" w:name="_Toc182409700"/>
      <w:r>
        <w:t>Observador de Rede</w:t>
      </w:r>
      <w:bookmarkEnd w:id="335"/>
      <w:bookmarkEnd w:id="338"/>
    </w:p>
    <w:bookmarkEnd w:id="336"/>
    <w:p w14:paraId="661CF817" w14:textId="77777777" w:rsidR="00430979" w:rsidRDefault="00430979" w:rsidP="00F01ED6">
      <w:pPr>
        <w:pStyle w:val="ProductList-Body"/>
        <w:rPr>
          <w:b/>
          <w:color w:val="00188F"/>
        </w:rPr>
      </w:pPr>
      <w:r>
        <w:rPr>
          <w:b/>
          <w:color w:val="00188F"/>
        </w:rPr>
        <w:t>Definições Adicionais</w:t>
      </w:r>
      <w:r w:rsidRPr="00473DD3">
        <w:rPr>
          <w:b/>
          <w:color w:val="00188F"/>
        </w:rPr>
        <w:t>:</w:t>
      </w:r>
    </w:p>
    <w:p w14:paraId="00667AC1" w14:textId="1E963768"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uma coleção de ferramentas de topologia e diagnóstico de rede.</w:t>
      </w:r>
    </w:p>
    <w:p w14:paraId="767FDCE8" w14:textId="39952022"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efetuadas pela Ferramenta de Diagnóstico de Rede, tal como configurado pelo Cliente num Período Aplicável para uma determinada subscrição do Microsoft Azure.</w:t>
      </w:r>
    </w:p>
    <w:p w14:paraId="224AA33A" w14:textId="6C0287E7" w:rsidR="0043097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designa o número total de ações de diagnóstico no Máximo de Verificações de Diagnóstico que devolve um Código de Erro ou não devolve uma resposta no Tempo Máximo de Processamento documentado na tabela abaixo.</w:t>
      </w:r>
    </w:p>
    <w:p w14:paraId="4A9F7986" w14:textId="77777777" w:rsidR="007451DA" w:rsidRPr="00EF7CF9" w:rsidRDefault="007451DA" w:rsidP="00F01ED6">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Ferramenta de Diagnóstico</w:t>
            </w:r>
          </w:p>
        </w:tc>
        <w:tc>
          <w:tcPr>
            <w:tcW w:w="2491" w:type="pct"/>
            <w:shd w:val="clear" w:color="auto" w:fill="0072C6"/>
          </w:tcPr>
          <w:p w14:paraId="42C15AC1"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B50E44" w:rsidRDefault="00430979" w:rsidP="00F01ED6">
            <w:pPr>
              <w:pStyle w:val="Heading2"/>
              <w:keepNext w:val="0"/>
              <w:keepLines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Verificação IPFlow</w:t>
            </w:r>
          </w:p>
          <w:p w14:paraId="5051AC35"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NextHop</w:t>
            </w:r>
          </w:p>
          <w:p w14:paraId="68485720"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Captura de Pacotes</w:t>
            </w:r>
          </w:p>
          <w:p w14:paraId="3A4359B7"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Vista do Grupo de Segurança</w:t>
            </w:r>
          </w:p>
          <w:p w14:paraId="44D59B52" w14:textId="77777777" w:rsidR="00430979" w:rsidRPr="00B50E44" w:rsidRDefault="00430979" w:rsidP="00F01ED6">
            <w:pPr>
              <w:pStyle w:val="ProductList-OfferingBody"/>
              <w:rPr>
                <w:rFonts w:eastAsiaTheme="minorEastAsia" w:cstheme="minorHAnsi"/>
                <w:szCs w:val="16"/>
              </w:rPr>
            </w:pPr>
            <w:r w:rsidRPr="00B50E44">
              <w:rPr>
                <w:rFonts w:eastAsiaTheme="minorEastAsia" w:cstheme="minorHAnsi"/>
                <w:szCs w:val="16"/>
              </w:rPr>
              <w:t>Topologia</w:t>
            </w:r>
          </w:p>
          <w:p w14:paraId="51B46A76" w14:textId="77777777" w:rsidR="00430979" w:rsidRPr="00B50E44" w:rsidRDefault="00430979" w:rsidP="00F01ED6">
            <w:pPr>
              <w:pStyle w:val="ProductList-Body"/>
              <w:rPr>
                <w:sz w:val="16"/>
                <w:szCs w:val="16"/>
              </w:rPr>
            </w:pPr>
            <w:r w:rsidRPr="00B50E44">
              <w:rPr>
                <w:sz w:val="16"/>
                <w:szCs w:val="16"/>
              </w:rPr>
              <w:t>Monitor de Ligações</w:t>
            </w:r>
          </w:p>
          <w:p w14:paraId="11650A43" w14:textId="77777777" w:rsidR="00430979" w:rsidRPr="00B50E44" w:rsidRDefault="00430979" w:rsidP="00F01ED6">
            <w:pPr>
              <w:pStyle w:val="ProductList-Body"/>
              <w:rPr>
                <w:sz w:val="16"/>
                <w:szCs w:val="16"/>
              </w:rPr>
            </w:pPr>
            <w:r w:rsidRPr="00B50E44">
              <w:rPr>
                <w:sz w:val="16"/>
                <w:szCs w:val="16"/>
              </w:rPr>
              <w:t>Monitor de Ligações (clássico)</w:t>
            </w:r>
          </w:p>
        </w:tc>
        <w:tc>
          <w:tcPr>
            <w:tcW w:w="2491" w:type="pct"/>
          </w:tcPr>
          <w:p w14:paraId="6C475433" w14:textId="77777777" w:rsidR="00430979" w:rsidRPr="00B50E44" w:rsidRDefault="00430979" w:rsidP="00F01ED6">
            <w:pPr>
              <w:pStyle w:val="ProductList-OfferingBody"/>
              <w:rPr>
                <w:szCs w:val="16"/>
              </w:rPr>
            </w:pPr>
            <w:r w:rsidRPr="00B50E44">
              <w:rPr>
                <w:szCs w:val="16"/>
              </w:rPr>
              <w:t>2 minutos</w:t>
            </w:r>
          </w:p>
        </w:tc>
      </w:tr>
      <w:tr w:rsidR="00430979" w:rsidRPr="00B44CF9" w14:paraId="23AAA306" w14:textId="77777777" w:rsidTr="000F31B4">
        <w:trPr>
          <w:trHeight w:val="249"/>
        </w:trPr>
        <w:tc>
          <w:tcPr>
            <w:tcW w:w="2509" w:type="pct"/>
          </w:tcPr>
          <w:p w14:paraId="58E8F7FE" w14:textId="77777777" w:rsidR="00430979" w:rsidRPr="00B50E44" w:rsidRDefault="00430979" w:rsidP="00F01ED6">
            <w:pPr>
              <w:pStyle w:val="ProductList-OfferingBody"/>
              <w:rPr>
                <w:szCs w:val="16"/>
              </w:rPr>
            </w:pPr>
            <w:r w:rsidRPr="00B50E44">
              <w:rPr>
                <w:szCs w:val="16"/>
              </w:rPr>
              <w:t>Resolução de Problemas da VPN</w:t>
            </w:r>
          </w:p>
        </w:tc>
        <w:tc>
          <w:tcPr>
            <w:tcW w:w="2491" w:type="pct"/>
          </w:tcPr>
          <w:p w14:paraId="7C7EB31F" w14:textId="77777777" w:rsidR="00430979" w:rsidRPr="00B50E44" w:rsidRDefault="00430979" w:rsidP="00F01ED6">
            <w:pPr>
              <w:pStyle w:val="ProductList-OfferingBody"/>
              <w:rPr>
                <w:szCs w:val="16"/>
              </w:rPr>
            </w:pPr>
            <w:r w:rsidRPr="00B50E44">
              <w:rPr>
                <w:szCs w:val="16"/>
              </w:rPr>
              <w:t xml:space="preserve">10 minutos </w:t>
            </w:r>
          </w:p>
        </w:tc>
      </w:tr>
    </w:tbl>
    <w:p w14:paraId="643CF345" w14:textId="5E16B9F6" w:rsidR="00430979" w:rsidRPr="00CB7596" w:rsidRDefault="00430979" w:rsidP="00F01ED6">
      <w:pPr>
        <w:spacing w:before="120" w:after="0" w:line="240" w:lineRule="auto"/>
        <w:rPr>
          <w:rFonts w:cstheme="minorHAnsi"/>
          <w:sz w:val="18"/>
          <w:szCs w:val="18"/>
        </w:rPr>
      </w:pPr>
      <w:r w:rsidRPr="00CB7596">
        <w:rPr>
          <w:sz w:val="18"/>
          <w:szCs w:val="18"/>
        </w:rPr>
        <w:t xml:space="preserve">A </w:t>
      </w:r>
      <w:r w:rsidR="00380305" w:rsidRPr="00CB7596">
        <w:rPr>
          <w:rFonts w:cstheme="minorHAnsi"/>
          <w:sz w:val="18"/>
          <w:szCs w:val="18"/>
        </w:rPr>
        <w:t>“</w:t>
      </w:r>
      <w:r w:rsidRPr="00CB7596">
        <w:rPr>
          <w:rFonts w:cstheme="minorHAnsi"/>
          <w:b/>
          <w:color w:val="00188F"/>
          <w:sz w:val="18"/>
          <w:szCs w:val="18"/>
        </w:rPr>
        <w:t>Percentagem de Período de Disponibilidade</w:t>
      </w:r>
      <w:r w:rsidR="00380305" w:rsidRPr="00CB7596">
        <w:rPr>
          <w:rFonts w:cstheme="minorHAnsi"/>
          <w:sz w:val="18"/>
          <w:szCs w:val="18"/>
        </w:rPr>
        <w:t>”</w:t>
      </w:r>
      <w:r w:rsidRPr="00CB7596">
        <w:rPr>
          <w:rFonts w:cstheme="minorHAnsi"/>
          <w:sz w:val="18"/>
          <w:szCs w:val="18"/>
        </w:rPr>
        <w:t xml:space="preserve"> é calculada através da seguinte fórmula:</w:t>
      </w:r>
    </w:p>
    <w:p w14:paraId="114D92F5" w14:textId="77777777" w:rsidR="00430979" w:rsidRPr="007C4E48" w:rsidRDefault="00430979" w:rsidP="00F01ED6">
      <w:pPr>
        <w:spacing w:after="0" w:line="240" w:lineRule="auto"/>
        <w:rPr>
          <w:rFonts w:cstheme="minorHAnsi"/>
          <w:sz w:val="12"/>
          <w:szCs w:val="12"/>
        </w:rPr>
      </w:pPr>
    </w:p>
    <w:p w14:paraId="680B8244" w14:textId="35A39F3A" w:rsidR="00430979" w:rsidRPr="00EF7CF9" w:rsidRDefault="00000000" w:rsidP="007C4E48">
      <w:pPr>
        <w:spacing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F01ED6">
      <w:pPr>
        <w:pStyle w:val="ProductList-Body"/>
      </w:pPr>
      <w:r>
        <w:rPr>
          <w:b/>
          <w:color w:val="00188F"/>
        </w:rPr>
        <w:t>Níveis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B50E44" w:rsidRDefault="00AC48A7" w:rsidP="00F01ED6">
            <w:pPr>
              <w:pStyle w:val="ProductList-OfferingBody"/>
              <w:jc w:val="center"/>
              <w:rPr>
                <w:color w:val="FFFFFF" w:themeColor="background1"/>
                <w:szCs w:val="16"/>
              </w:rPr>
            </w:pPr>
            <w:r w:rsidRPr="00B50E44">
              <w:rPr>
                <w:color w:val="FFFFFF" w:themeColor="background1"/>
                <w:szCs w:val="16"/>
              </w:rPr>
              <w:t>Percentagem de Período de Disponibilidade</w:t>
            </w:r>
          </w:p>
        </w:tc>
        <w:tc>
          <w:tcPr>
            <w:tcW w:w="2487" w:type="pct"/>
            <w:shd w:val="clear" w:color="auto" w:fill="0072C6"/>
          </w:tcPr>
          <w:p w14:paraId="75A13F4F" w14:textId="77777777" w:rsidR="00430979" w:rsidRPr="00B50E44" w:rsidRDefault="00430979" w:rsidP="00F01ED6">
            <w:pPr>
              <w:pStyle w:val="ProductList-OfferingBody"/>
              <w:jc w:val="center"/>
              <w:rPr>
                <w:color w:val="FFFFFF" w:themeColor="background1"/>
                <w:szCs w:val="16"/>
              </w:rPr>
            </w:pPr>
            <w:r w:rsidRPr="00B50E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B50E44" w:rsidRDefault="00430979" w:rsidP="00F01ED6">
            <w:pPr>
              <w:pStyle w:val="ProductList-OfferingBody"/>
              <w:jc w:val="center"/>
              <w:rPr>
                <w:szCs w:val="16"/>
              </w:rPr>
            </w:pPr>
            <w:r w:rsidRPr="00B50E44">
              <w:rPr>
                <w:szCs w:val="16"/>
              </w:rPr>
              <w:t>&lt; 99,9%</w:t>
            </w:r>
          </w:p>
        </w:tc>
        <w:tc>
          <w:tcPr>
            <w:tcW w:w="2487" w:type="pct"/>
          </w:tcPr>
          <w:p w14:paraId="2269548D" w14:textId="77777777" w:rsidR="00430979" w:rsidRPr="00B50E44" w:rsidRDefault="00430979" w:rsidP="00F01ED6">
            <w:pPr>
              <w:pStyle w:val="ProductList-OfferingBody"/>
              <w:jc w:val="center"/>
              <w:rPr>
                <w:szCs w:val="16"/>
              </w:rPr>
            </w:pPr>
            <w:r w:rsidRPr="00B50E44">
              <w:rPr>
                <w:szCs w:val="16"/>
              </w:rPr>
              <w:t>10%</w:t>
            </w:r>
          </w:p>
        </w:tc>
      </w:tr>
      <w:tr w:rsidR="00430979" w:rsidRPr="00B44CF9" w14:paraId="743D0E65" w14:textId="77777777" w:rsidTr="000F31B4">
        <w:trPr>
          <w:trHeight w:val="249"/>
        </w:trPr>
        <w:tc>
          <w:tcPr>
            <w:tcW w:w="2513" w:type="pct"/>
          </w:tcPr>
          <w:p w14:paraId="715B48C8" w14:textId="77777777" w:rsidR="00430979" w:rsidRPr="00B50E44" w:rsidRDefault="00430979" w:rsidP="00F01ED6">
            <w:pPr>
              <w:pStyle w:val="ProductList-OfferingBody"/>
              <w:jc w:val="center"/>
              <w:rPr>
                <w:szCs w:val="16"/>
              </w:rPr>
            </w:pPr>
            <w:r w:rsidRPr="00B50E44">
              <w:rPr>
                <w:szCs w:val="16"/>
              </w:rPr>
              <w:t>&lt; 99%</w:t>
            </w:r>
          </w:p>
        </w:tc>
        <w:tc>
          <w:tcPr>
            <w:tcW w:w="2487" w:type="pct"/>
          </w:tcPr>
          <w:p w14:paraId="56040B94" w14:textId="77777777" w:rsidR="00430979" w:rsidRPr="00B50E44" w:rsidRDefault="00430979" w:rsidP="00F01ED6">
            <w:pPr>
              <w:pStyle w:val="ProductList-OfferingBody"/>
              <w:jc w:val="center"/>
              <w:rPr>
                <w:szCs w:val="16"/>
              </w:rPr>
            </w:pPr>
            <w:r w:rsidRPr="00B50E44">
              <w:rPr>
                <w:szCs w:val="16"/>
              </w:rPr>
              <w:t>25%</w:t>
            </w:r>
          </w:p>
        </w:tc>
      </w:tr>
    </w:tbl>
    <w:bookmarkStart w:id="339" w:name="_Toc457821572"/>
    <w:bookmarkStart w:id="340" w:name="_Toc52348982"/>
    <w:bookmarkEnd w:id="337"/>
    <w:p w14:paraId="373B34E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0314EE" w14:textId="77777777" w:rsidR="00430979" w:rsidRPr="00EF7CF9" w:rsidRDefault="00430979" w:rsidP="00F01ED6">
      <w:pPr>
        <w:pStyle w:val="ProductList-Offering2Heading"/>
        <w:tabs>
          <w:tab w:val="clear" w:pos="360"/>
          <w:tab w:val="clear" w:pos="720"/>
          <w:tab w:val="clear" w:pos="1080"/>
        </w:tabs>
        <w:outlineLvl w:val="2"/>
      </w:pPr>
      <w:bookmarkStart w:id="341" w:name="_Toc182409701"/>
      <w:r>
        <w:t>Hubs de Notificação</w:t>
      </w:r>
      <w:bookmarkEnd w:id="339"/>
      <w:bookmarkEnd w:id="340"/>
      <w:bookmarkEnd w:id="341"/>
    </w:p>
    <w:p w14:paraId="7246C680" w14:textId="77777777" w:rsidR="00430979" w:rsidRPr="00EF7CF9" w:rsidRDefault="00430979" w:rsidP="00F01ED6">
      <w:pPr>
        <w:pStyle w:val="ProductList-Body"/>
      </w:pPr>
      <w:r>
        <w:rPr>
          <w:b/>
          <w:color w:val="00188F"/>
        </w:rPr>
        <w:t>Definições Adicionais</w:t>
      </w:r>
      <w:r w:rsidRPr="00473DD3">
        <w:rPr>
          <w:b/>
          <w:color w:val="00188F"/>
        </w:rPr>
        <w:t>:</w:t>
      </w:r>
    </w:p>
    <w:p w14:paraId="203A06C0" w14:textId="79802AD3" w:rsidR="00430979" w:rsidRPr="00EF7CF9" w:rsidRDefault="00380305" w:rsidP="00F01ED6">
      <w:pPr>
        <w:pStyle w:val="ProductList-Body"/>
      </w:pPr>
      <w:r>
        <w:t>“</w:t>
      </w:r>
      <w:r w:rsidR="00430979">
        <w:rPr>
          <w:b/>
          <w:color w:val="00188F"/>
        </w:rPr>
        <w:t>Minutos de Implementação</w:t>
      </w:r>
      <w:r>
        <w:t>”</w:t>
      </w:r>
      <w:r w:rsidR="00430979">
        <w:t xml:space="preserve"> designa o número total de minutos durante os quais um determinado Hub de Notificação foi implementado no Microsoft Azure durante um Período Aplicável.</w:t>
      </w:r>
    </w:p>
    <w:p w14:paraId="6D21BD1A" w14:textId="308F999E" w:rsidR="00430979" w:rsidRPr="00EF7CF9" w:rsidRDefault="00380305" w:rsidP="00F01ED6">
      <w:pPr>
        <w:pStyle w:val="ProductList-Body"/>
      </w:pPr>
      <w:r>
        <w:t>“</w:t>
      </w:r>
      <w:r w:rsidR="00430979">
        <w:rPr>
          <w:b/>
          <w:color w:val="00188F"/>
        </w:rPr>
        <w:t>Máximo de Minutos Disponíveis</w:t>
      </w:r>
      <w:r>
        <w:t>”</w:t>
      </w:r>
      <w:r w:rsidR="00430979">
        <w:t xml:space="preserve"> designa a soma de todos os Minutos de Implementação em todos os Hubs de Notificação implementados pelo Cliente numa determinada subscrição do Microsoft Azure nas camadas Basic ou Standard dos Hubs de Notificação durante um Período Aplicável.</w:t>
      </w:r>
    </w:p>
    <w:p w14:paraId="426087FB" w14:textId="168DD1DC" w:rsidR="00430979" w:rsidRPr="00EF7CF9" w:rsidRDefault="00430979" w:rsidP="005E5DC2">
      <w:pPr>
        <w:pStyle w:val="ProductList-Body"/>
        <w:keepNext/>
        <w:keepLines/>
      </w:pPr>
      <w:r>
        <w:rPr>
          <w:b/>
          <w:color w:val="00188F"/>
        </w:rPr>
        <w:t>Período de Indisponibilidade</w:t>
      </w:r>
      <w:r w:rsidRPr="00473DD3">
        <w:rPr>
          <w:b/>
          <w:color w:val="00188F"/>
        </w:rPr>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0C4D73A4" w14:textId="77D9F744" w:rsidR="0043097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8B3B4F9" w14:textId="77777777" w:rsidR="005E5DC2" w:rsidRPr="00EF7CF9" w:rsidRDefault="005E5DC2" w:rsidP="00F01ED6">
      <w:pPr>
        <w:pStyle w:val="ProductList-Body"/>
      </w:pPr>
    </w:p>
    <w:p w14:paraId="2358A694" w14:textId="113B4B4B" w:rsidR="00430979" w:rsidRPr="00EF7CF9" w:rsidRDefault="00000000" w:rsidP="00ED650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FB4ECA" w14:textId="77777777" w:rsidR="00430979" w:rsidRPr="00EF7CF9" w:rsidRDefault="0043097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FB8E86" w14:textId="77777777" w:rsidR="00430979" w:rsidRPr="00EF7CF9" w:rsidRDefault="00430979" w:rsidP="00F01ED6">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F01ED6">
            <w:pPr>
              <w:pStyle w:val="ProductList-OfferingBody"/>
              <w:jc w:val="center"/>
            </w:pPr>
            <w:r>
              <w:t>&lt; 99,9%</w:t>
            </w:r>
          </w:p>
        </w:tc>
        <w:tc>
          <w:tcPr>
            <w:tcW w:w="5400" w:type="dxa"/>
          </w:tcPr>
          <w:p w14:paraId="38E84104" w14:textId="77777777" w:rsidR="00430979" w:rsidRPr="00EF7CF9" w:rsidRDefault="00430979" w:rsidP="00F01ED6">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F01ED6">
            <w:pPr>
              <w:pStyle w:val="ProductList-OfferingBody"/>
              <w:jc w:val="center"/>
            </w:pPr>
            <w:r>
              <w:t>&lt; 99%</w:t>
            </w:r>
          </w:p>
        </w:tc>
        <w:tc>
          <w:tcPr>
            <w:tcW w:w="5400" w:type="dxa"/>
          </w:tcPr>
          <w:p w14:paraId="437A1D31" w14:textId="77777777" w:rsidR="00430979" w:rsidRPr="00EF7CF9" w:rsidRDefault="00430979" w:rsidP="00F01ED6">
            <w:pPr>
              <w:pStyle w:val="ProductList-OfferingBody"/>
              <w:jc w:val="center"/>
            </w:pPr>
            <w:r>
              <w:t>25%</w:t>
            </w:r>
          </w:p>
        </w:tc>
      </w:tr>
    </w:tbl>
    <w:p w14:paraId="1D869465" w14:textId="77777777" w:rsidR="005E5DC2" w:rsidRPr="007451DA" w:rsidRDefault="005E5DC2" w:rsidP="00F01ED6">
      <w:pPr>
        <w:pStyle w:val="ProductList-Body"/>
        <w:keepNext/>
        <w:rPr>
          <w:b/>
          <w:color w:val="00188F"/>
          <w:sz w:val="12"/>
          <w:szCs w:val="12"/>
        </w:rPr>
      </w:pPr>
    </w:p>
    <w:p w14:paraId="65389EC9" w14:textId="51329B8F" w:rsidR="00430979" w:rsidRPr="00EF7CF9" w:rsidRDefault="00430979" w:rsidP="00F01ED6">
      <w:pPr>
        <w:pStyle w:val="ProductList-Body"/>
        <w:keepNext/>
      </w:pPr>
      <w:r>
        <w:rPr>
          <w:b/>
          <w:color w:val="00188F"/>
        </w:rPr>
        <w:t>Exceções de Nível de Serviço</w:t>
      </w:r>
      <w:r w:rsidRPr="00473DD3">
        <w:rPr>
          <w:b/>
          <w:color w:val="00188F"/>
        </w:rPr>
        <w:t>:</w:t>
      </w:r>
      <w:r>
        <w:t xml:space="preserve"> Os Níveis de Serviço e Créditos de Serviço são aplicáveis à utilização que o Cliente faz das camadas Basic e Standard dos Hubs de Notificação.</w:t>
      </w:r>
    </w:p>
    <w:p w14:paraId="4EF7993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5A5FD93" w14:textId="77777777" w:rsidR="00430979" w:rsidRPr="00430979" w:rsidRDefault="00430979" w:rsidP="00F01ED6">
      <w:pPr>
        <w:pStyle w:val="ProductList-Offering2Heading"/>
        <w:keepNext/>
        <w:tabs>
          <w:tab w:val="clear" w:pos="360"/>
          <w:tab w:val="clear" w:pos="720"/>
          <w:tab w:val="clear" w:pos="1080"/>
        </w:tabs>
        <w:outlineLvl w:val="2"/>
      </w:pPr>
      <w:bookmarkStart w:id="342" w:name="_Toc182409702"/>
      <w:r>
        <w:t>Reservas de Capacidade A Pedido para Máquinas Virtuais do Azure</w:t>
      </w:r>
      <w:bookmarkEnd w:id="342"/>
    </w:p>
    <w:p w14:paraId="3BFDCAB1" w14:textId="77777777" w:rsidR="00430979" w:rsidRPr="00430979" w:rsidRDefault="00430979" w:rsidP="00F01ED6">
      <w:pPr>
        <w:pStyle w:val="ProductList-Body"/>
        <w:rPr>
          <w:b/>
          <w:bCs/>
          <w:color w:val="00188F"/>
        </w:rPr>
      </w:pPr>
      <w:r>
        <w:rPr>
          <w:b/>
          <w:bCs/>
          <w:color w:val="00188F"/>
        </w:rPr>
        <w:t>Definições Adicionais</w:t>
      </w:r>
    </w:p>
    <w:p w14:paraId="1255BD6C" w14:textId="1E94AF1E" w:rsidR="00430979" w:rsidRDefault="00380305" w:rsidP="00F01ED6">
      <w:pPr>
        <w:pStyle w:val="ProductList-Body"/>
        <w:jc w:val="both"/>
      </w:pPr>
      <w:r>
        <w:t>“</w:t>
      </w:r>
      <w:r w:rsidR="00430979">
        <w:rPr>
          <w:b/>
          <w:bCs/>
          <w:color w:val="00188F"/>
        </w:rPr>
        <w:t>Zona de Disponibilidade</w:t>
      </w:r>
      <w:r>
        <w:t>”</w:t>
      </w:r>
      <w:r w:rsidR="00430979">
        <w:t xml:space="preserve"> designa uma área isolada de falhas numa região do Azure que providencia alimentação, refrigeração e rede redundantes.</w:t>
      </w:r>
    </w:p>
    <w:p w14:paraId="75068006" w14:textId="4B91D340" w:rsidR="00430979" w:rsidRDefault="00380305" w:rsidP="00F01ED6">
      <w:pPr>
        <w:pStyle w:val="ProductList-Body"/>
        <w:jc w:val="both"/>
      </w:pPr>
      <w:r>
        <w:t>“</w:t>
      </w:r>
      <w:r w:rsidR="00430979">
        <w:rPr>
          <w:b/>
          <w:bCs/>
          <w:color w:val="00188F"/>
        </w:rPr>
        <w:t>Capacidade</w:t>
      </w:r>
      <w:r>
        <w:t>”</w:t>
      </w:r>
      <w:r w:rsidR="00430979">
        <w:t xml:space="preserve"> é uma propriedade de uma Reserva de Capacidade A Pedido que especifica a quantidade de instâncias de Máquina Virtual reservadas</w:t>
      </w:r>
    </w:p>
    <w:p w14:paraId="2E6509A9" w14:textId="6FEA8C6F" w:rsidR="00430979" w:rsidRDefault="00380305" w:rsidP="00F01ED6">
      <w:pPr>
        <w:pStyle w:val="ProductList-Body"/>
      </w:pPr>
      <w:r>
        <w:t>“</w:t>
      </w:r>
      <w:r w:rsidR="00430979">
        <w:rPr>
          <w:b/>
          <w:bCs/>
          <w:color w:val="00188F"/>
        </w:rPr>
        <w:t>Reserva de Capacidade A Pedido</w:t>
      </w:r>
      <w:r>
        <w:t>”</w:t>
      </w:r>
      <w:r w:rsidR="00430979">
        <w:t xml:space="preserve"> é um objeto criado numa subscrição do Azure para exprimir uma quantidade de capacidade reservada para um tipo de instância de Máquina Virtual específico numa localização específica.</w:t>
      </w:r>
    </w:p>
    <w:p w14:paraId="5B67FE53" w14:textId="59944DDE" w:rsidR="00430979" w:rsidRDefault="00380305" w:rsidP="00F01ED6">
      <w:pPr>
        <w:pStyle w:val="ProductList-Body"/>
      </w:pPr>
      <w:r>
        <w:t>“</w:t>
      </w:r>
      <w:r w:rsidR="00430979">
        <w:rPr>
          <w:b/>
          <w:bCs/>
          <w:color w:val="00188F"/>
        </w:rPr>
        <w:t>Máquina Virtual</w:t>
      </w:r>
      <w:r>
        <w:t>”</w:t>
      </w:r>
      <w:r w:rsidR="00430979">
        <w:t xml:space="preserve"> designa os tipos de instância persistentes que podem ser implementados individualmente ou como parte de um Conjunto de</w:t>
      </w:r>
      <w:r w:rsidR="00A73E81">
        <w:t> </w:t>
      </w:r>
      <w:r w:rsidR="00430979">
        <w:t>Dimensionamento de Máquinas Virtuais, num ambiente multi-inquilino em Azure.</w:t>
      </w:r>
    </w:p>
    <w:p w14:paraId="44DFECDB" w14:textId="2D143B7C" w:rsidR="00430979" w:rsidRDefault="00380305" w:rsidP="00F01ED6">
      <w:pPr>
        <w:pStyle w:val="ProductList-Body"/>
      </w:pPr>
      <w:r>
        <w:t>“</w:t>
      </w:r>
      <w:r w:rsidR="00430979">
        <w:rPr>
          <w:b/>
          <w:bCs/>
          <w:color w:val="00188F"/>
        </w:rPr>
        <w:t>Máquinas Virtuais Alocadas</w:t>
      </w:r>
      <w:r>
        <w:t>”</w:t>
      </w:r>
      <w:r w:rsidR="00430979">
        <w:t xml:space="preserve"> é uma propriedade de uma Reserva de Capacidade A Pedido; refere-se à lista de Máquinas Virtuais alocadas à</w:t>
      </w:r>
      <w:r w:rsidR="005E5DC2">
        <w:t> </w:t>
      </w:r>
      <w:r w:rsidR="00430979">
        <w:t>Reserva de Capacidade A Pedido.</w:t>
      </w:r>
    </w:p>
    <w:p w14:paraId="39559A6B" w14:textId="20F2EF41" w:rsidR="00430979" w:rsidRDefault="00380305" w:rsidP="00F01ED6">
      <w:pPr>
        <w:pStyle w:val="ProductList-Body"/>
      </w:pPr>
      <w:r>
        <w:t>“</w:t>
      </w:r>
      <w:r w:rsidR="00430979">
        <w:rPr>
          <w:b/>
          <w:bCs/>
          <w:color w:val="00188F"/>
        </w:rPr>
        <w:t>Implementação Suportada</w:t>
      </w:r>
      <w:r>
        <w:t>”</w:t>
      </w:r>
      <w:r w:rsidR="00430979">
        <w:t xml:space="preserve"> é uma implementação de Máquina Virtual que corresponde à localização, incluindo a Zona de Disponibilidade, se</w:t>
      </w:r>
      <w:r w:rsidR="00186295">
        <w:t> </w:t>
      </w:r>
      <w:r w:rsidR="00430979">
        <w:t>for</w:t>
      </w:r>
      <w:r w:rsidR="00186295">
        <w:t> </w:t>
      </w:r>
      <w:r w:rsidR="00430979">
        <w:t>definida, utiliza o tamanho exato da Máquina Virtual de uma Reserva de Capacidade A Pedido existente e está em conformidade com a</w:t>
      </w:r>
      <w:r w:rsidR="005E5DC2">
        <w:t> </w:t>
      </w:r>
      <w:hyperlink r:id="rId23" w:anchor="limitations-and-restrictions" w:history="1">
        <w:r w:rsidR="00430979">
          <w:rPr>
            <w:rStyle w:val="Hyperlink"/>
          </w:rPr>
          <w:t>documentação de utilização</w:t>
        </w:r>
      </w:hyperlink>
      <w:r w:rsidR="00430979">
        <w:t xml:space="preserve"> da funcionalidade.</w:t>
      </w:r>
    </w:p>
    <w:p w14:paraId="5C1CD026" w14:textId="145B1602" w:rsidR="00430979" w:rsidRDefault="00380305" w:rsidP="00F01ED6">
      <w:pPr>
        <w:pStyle w:val="ProductList-Body"/>
      </w:pPr>
      <w:r>
        <w:t>“</w:t>
      </w:r>
      <w:r w:rsidR="00430979">
        <w:rPr>
          <w:b/>
          <w:bCs/>
          <w:color w:val="00188F"/>
        </w:rPr>
        <w:t>Unidade Reservada</w:t>
      </w:r>
      <w:r>
        <w:t>”</w:t>
      </w:r>
      <w:r w:rsidR="00430979">
        <w:t xml:space="preserve"> é exatamente uma instância de uma Reserva de Capacidade A Pedido. Por exemplo, se uma Reserva de Capacidade A Pedido especifica uma Capacidade de 10 Máquinas Virtuais, significa que existem 10 Unidades Reservadas.</w:t>
      </w:r>
    </w:p>
    <w:p w14:paraId="7B8AC567" w14:textId="40DF3D35" w:rsidR="00430979" w:rsidRDefault="00380305" w:rsidP="00F01ED6">
      <w:pPr>
        <w:pStyle w:val="ProductList-Body"/>
        <w:jc w:val="both"/>
      </w:pPr>
      <w:r>
        <w:t>“</w:t>
      </w:r>
      <w:r w:rsidR="00430979">
        <w:rPr>
          <w:b/>
          <w:bCs/>
          <w:color w:val="00188F"/>
        </w:rPr>
        <w:t>Reserva de Capacidade Não Utilizada</w:t>
      </w:r>
      <w:r>
        <w:t>”</w:t>
      </w:r>
      <w:r w:rsidR="00430979">
        <w:t xml:space="preserve"> é uma Reserva de Capacidade A Pedido com o número de Máquinas Virtuais Alocadas inferior à Capacidade.</w:t>
      </w:r>
    </w:p>
    <w:p w14:paraId="17BB0F27" w14:textId="2087F40A" w:rsidR="00430979" w:rsidRDefault="00380305" w:rsidP="00F01ED6">
      <w:pPr>
        <w:pStyle w:val="ProductList-Body"/>
      </w:pPr>
      <w:r>
        <w:t>“</w:t>
      </w:r>
      <w:r w:rsidR="00430979">
        <w:rPr>
          <w:b/>
          <w:bCs/>
          <w:color w:val="00188F"/>
        </w:rPr>
        <w:t>Indisponível para Implementação</w:t>
      </w:r>
      <w:r>
        <w:t>”</w:t>
      </w:r>
      <w:r w:rsidR="00430979">
        <w:t xml:space="preserve"> é definido como qualquer Implementação Suportada configurada para consumir uma Reserva de Capacidade Não Utilizada existente que satisfaz as duas condições:</w:t>
      </w:r>
    </w:p>
    <w:p w14:paraId="22D3FF4F" w14:textId="02B6D5D5" w:rsidR="00430979" w:rsidRDefault="00430979" w:rsidP="00F01ED6">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implementação da Máquina Virtual para outros tipos de erros ou devido a uma falta de capacidade para os discos ou qualquer outro recurso do Azure não cumpre este requisito; e</w:t>
      </w:r>
    </w:p>
    <w:p w14:paraId="355ADB92" w14:textId="13C66690" w:rsidR="00430979" w:rsidRDefault="00430979" w:rsidP="00F01ED6">
      <w:pPr>
        <w:pStyle w:val="ProductList-Body"/>
        <w:numPr>
          <w:ilvl w:val="1"/>
          <w:numId w:val="23"/>
        </w:numPr>
        <w:tabs>
          <w:tab w:val="clear" w:pos="360"/>
          <w:tab w:val="clear" w:pos="720"/>
          <w:tab w:val="clear" w:pos="1080"/>
        </w:tabs>
        <w:ind w:left="540" w:hanging="180"/>
      </w:pPr>
      <w:r>
        <w:t>A Reserva de Capacidade Não Utilizada continua a satisfazer a definição da Reserva de Capacidade Não Utilizada (por exemplo, outras Máquinas Virtuais ainda não consumiram a Reserva de Capacidade Não Utilizada).</w:t>
      </w:r>
    </w:p>
    <w:p w14:paraId="7A5EDA90" w14:textId="32AFCFA7" w:rsidR="00430979" w:rsidRPr="00430979" w:rsidRDefault="00EE6E3C" w:rsidP="00F01ED6">
      <w:pPr>
        <w:pStyle w:val="ProductList-Body"/>
        <w:spacing w:before="240"/>
        <w:rPr>
          <w:b/>
          <w:bCs/>
          <w:color w:val="00188F"/>
        </w:rPr>
      </w:pPr>
      <w:r>
        <w:rPr>
          <w:b/>
          <w:bCs/>
          <w:color w:val="00188F"/>
        </w:rPr>
        <w:t>Cálculo do Período de Disponibilidade e Níveis de Serviço para a Reserva de Capacidade A Pedido</w:t>
      </w:r>
    </w:p>
    <w:p w14:paraId="23F3C9D0" w14:textId="126AC575" w:rsidR="00430979" w:rsidRDefault="00380305" w:rsidP="00F01ED6">
      <w:pPr>
        <w:pStyle w:val="ProductList-Body"/>
      </w:pPr>
      <w:r>
        <w:t>“</w:t>
      </w:r>
      <w:r w:rsidR="00430979">
        <w:rPr>
          <w:b/>
          <w:bCs/>
          <w:color w:val="00188F"/>
        </w:rPr>
        <w:t>Minutes de Indisponibilidade</w:t>
      </w:r>
      <w:r>
        <w:t>”</w:t>
      </w:r>
      <w:r w:rsidR="00430979">
        <w:t xml:space="preserve"> é definido como os minutos que uma Reserva de Capacidade Não Utilizada está Indisponível para Implementação. Desde o momento em que ocorre uma condução Indisponível para Implementação, os Minutes de Indisponibilidade serão acumulados até (a) uma Implementação Suportada subsequente ser concluída com êxito, (b) outra condição Indisponível para Implementação resulta de outra tentativa de Implementação Suportada, ou (c) decorreram 15 minutos. Se decorrerem 15 minutos sem uma tentativa de Implementação Suportada, os Minutes de Indisponibilidade retomarão a acumulação após uma condição Indisponível para Implementação subsequente.</w:t>
      </w:r>
    </w:p>
    <w:p w14:paraId="5A920202" w14:textId="77777777" w:rsidR="00430979" w:rsidRPr="00F2068A" w:rsidRDefault="00430979" w:rsidP="00F01ED6">
      <w:pPr>
        <w:pStyle w:val="ProductList-Body"/>
        <w:rPr>
          <w:sz w:val="14"/>
        </w:rPr>
      </w:pPr>
    </w:p>
    <w:p w14:paraId="2E63F193" w14:textId="77777777" w:rsidR="00430979" w:rsidRPr="00F2068A" w:rsidRDefault="00430979" w:rsidP="00F01ED6">
      <w:pPr>
        <w:pStyle w:val="ProductList-Body"/>
        <w:rPr>
          <w:spacing w:val="-4"/>
        </w:rPr>
      </w:pPr>
      <w:r w:rsidRPr="00F2068A">
        <w:rPr>
          <w:spacing w:val="-4"/>
        </w:rPr>
        <w:t>Os Minutos de Indisponibilidade serão acumulados para cada Unidade Reservada que não for possível utilizar. Se uma Unidade Reservada for utilizada enquanto outra permanecer não utilizada, os Minutos de Indisponibilidade continuarão a ser acumulados apenas para a Unidade Reservada não utilizada.</w:t>
      </w:r>
    </w:p>
    <w:p w14:paraId="4B376EFE" w14:textId="77777777" w:rsidR="00430979" w:rsidRPr="00F2068A" w:rsidRDefault="00430979" w:rsidP="00F01ED6">
      <w:pPr>
        <w:pStyle w:val="ProductList-Body"/>
        <w:rPr>
          <w:sz w:val="14"/>
        </w:rPr>
      </w:pPr>
    </w:p>
    <w:p w14:paraId="28A9D0E7" w14:textId="63865D7A" w:rsidR="00430979" w:rsidRDefault="00430979" w:rsidP="00F01ED6">
      <w:pPr>
        <w:pStyle w:val="ProductList-Body"/>
      </w:pPr>
      <w:r>
        <w:t xml:space="preserve">Consulte o </w:t>
      </w:r>
      <w:hyperlink r:id="rId24" w:anchor="sla-for-capacity-reservation" w:history="1">
        <w:r>
          <w:rPr>
            <w:rStyle w:val="Hyperlink"/>
          </w:rPr>
          <w:t>cálculo de exemplo</w:t>
        </w:r>
      </w:hyperlink>
      <w:r>
        <w:t xml:space="preserve"> na documentação da funcionalidade.</w:t>
      </w:r>
    </w:p>
    <w:p w14:paraId="15C00477" w14:textId="77777777" w:rsidR="00430979" w:rsidRPr="00F2068A" w:rsidRDefault="00430979" w:rsidP="00F01ED6">
      <w:pPr>
        <w:pStyle w:val="ProductList-Body"/>
        <w:rPr>
          <w:sz w:val="14"/>
        </w:rPr>
      </w:pPr>
    </w:p>
    <w:p w14:paraId="0277F4D8" w14:textId="3280F27F" w:rsidR="00430979" w:rsidRDefault="00380305" w:rsidP="00F01ED6">
      <w:pPr>
        <w:pStyle w:val="ProductList-Body"/>
      </w:pPr>
      <w:r>
        <w:t>“</w:t>
      </w:r>
      <w:r w:rsidR="00430979">
        <w:rPr>
          <w:b/>
          <w:bCs/>
          <w:color w:val="00188F"/>
        </w:rPr>
        <w:t>Período de Indisponibilidade</w:t>
      </w:r>
      <w:r>
        <w:t>”</w:t>
      </w:r>
      <w:r w:rsidR="00430979">
        <w:t xml:space="preserve"> é o total acumulado de Minutos de Indisponibilidade que fazem parte dos minutos num determinado mês calculados por Unidade Reservada.</w:t>
      </w:r>
    </w:p>
    <w:p w14:paraId="34C52979" w14:textId="7F515EE4" w:rsidR="00430979" w:rsidRDefault="00430979" w:rsidP="00F01ED6">
      <w:pPr>
        <w:pStyle w:val="ProductList-Body"/>
      </w:pPr>
      <w:r>
        <w:t xml:space="preserve">A </w:t>
      </w:r>
      <w:r w:rsidR="00380305">
        <w:t>“</w:t>
      </w:r>
      <w:r>
        <w:rPr>
          <w:b/>
          <w:bCs/>
          <w:color w:val="00188F"/>
        </w:rPr>
        <w:t>Percentagem de Período de Disponibilidade</w:t>
      </w:r>
      <w:r w:rsidR="00380305">
        <w:t>”</w:t>
      </w:r>
      <w:r>
        <w:t xml:space="preserve"> para cada Unidade Reservada é calculada pela percentagem de Minutos no Período Aplicável em que uma Unidade Reservada teve Período de Indisponibilidade.</w:t>
      </w:r>
    </w:p>
    <w:p w14:paraId="052BD620" w14:textId="77777777" w:rsidR="005E5DC2" w:rsidRDefault="005E5DC2" w:rsidP="00F01ED6">
      <w:pPr>
        <w:pStyle w:val="ProductList-Body"/>
      </w:pPr>
    </w:p>
    <w:p w14:paraId="6F2C9ED3" w14:textId="23E36989" w:rsidR="00430979" w:rsidRPr="00EF7CF9" w:rsidRDefault="00000000" w:rsidP="005E5DC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num Período Aplicável - Período de Indisponibilidade</m:t>
              </m:r>
            </m:num>
            <m:den>
              <m:r>
                <m:rPr>
                  <m:nor/>
                </m:rPr>
                <w:rPr>
                  <w:rFonts w:ascii="Cambria Math" w:hAnsi="Cambria Math" w:cs="Tahoma"/>
                  <w:i/>
                  <w:sz w:val="18"/>
                  <w:szCs w:val="18"/>
                </w:rPr>
                <m:t>Minutos num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68C008B2" w:rsidR="00430979" w:rsidRDefault="00430979" w:rsidP="00F01ED6">
      <w:pPr>
        <w:pStyle w:val="ProductList-Body"/>
      </w:pPr>
      <w:r>
        <w:rPr>
          <w:b/>
          <w:bCs/>
          <w:color w:val="00188F"/>
        </w:rPr>
        <w:t>Os seguintes Níveis de Serviço e Créditos de Serviço são aplicáveis à utilização que o Cliente faz de cada Unidade Reservada numa Reserva de</w:t>
      </w:r>
      <w:r w:rsidR="009325B8">
        <w:rPr>
          <w:b/>
          <w:bCs/>
          <w:color w:val="00188F"/>
        </w:rPr>
        <w:t> </w:t>
      </w:r>
      <w:r>
        <w:rPr>
          <w:b/>
          <w:bCs/>
          <w:color w:val="00188F"/>
        </w:rPr>
        <w:t>Capacidade A Pedido.</w:t>
      </w:r>
      <w:r>
        <w:t xml:space="preserve"> Os Créditos de Serviço são emitidos com base no custo de cada Unidade Reservada, não no custo global da Reserva de</w:t>
      </w:r>
      <w:r w:rsidR="009325B8">
        <w:t> </w:t>
      </w:r>
      <w:r>
        <w:t>Capacidade A Pedido.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F599AF" w14:textId="77777777" w:rsidR="00BF15F8" w:rsidRPr="00EF7CF9" w:rsidRDefault="00BF15F8" w:rsidP="00F01ED6">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F01ED6">
            <w:pPr>
              <w:pStyle w:val="ProductList-OfferingBody"/>
              <w:jc w:val="center"/>
            </w:pPr>
            <w:r>
              <w:t>&lt; 99,9%</w:t>
            </w:r>
          </w:p>
        </w:tc>
        <w:tc>
          <w:tcPr>
            <w:tcW w:w="5400" w:type="dxa"/>
          </w:tcPr>
          <w:p w14:paraId="345CC8EB" w14:textId="77777777" w:rsidR="00BF15F8" w:rsidRPr="00EF7CF9" w:rsidRDefault="00BF15F8" w:rsidP="00F01ED6">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F01ED6">
            <w:pPr>
              <w:pStyle w:val="ProductList-OfferingBody"/>
              <w:jc w:val="center"/>
            </w:pPr>
            <w:r>
              <w:t>&lt; 99%</w:t>
            </w:r>
          </w:p>
        </w:tc>
        <w:tc>
          <w:tcPr>
            <w:tcW w:w="5400" w:type="dxa"/>
          </w:tcPr>
          <w:p w14:paraId="04B0AB48" w14:textId="77777777" w:rsidR="00BF15F8" w:rsidRPr="00EF7CF9" w:rsidRDefault="00BF15F8" w:rsidP="00F01ED6">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F01ED6">
            <w:pPr>
              <w:pStyle w:val="ProductList-OfferingBody"/>
              <w:jc w:val="center"/>
            </w:pPr>
            <w:r>
              <w:t>&lt; 95%</w:t>
            </w:r>
          </w:p>
        </w:tc>
        <w:tc>
          <w:tcPr>
            <w:tcW w:w="5400" w:type="dxa"/>
          </w:tcPr>
          <w:p w14:paraId="0B6CDF92" w14:textId="7AD7C73E" w:rsidR="00BF15F8" w:rsidRPr="00EF7CF9" w:rsidRDefault="00BF15F8" w:rsidP="00F01ED6">
            <w:pPr>
              <w:pStyle w:val="ProductList-OfferingBody"/>
              <w:jc w:val="center"/>
            </w:pPr>
            <w:r>
              <w:t>100%</w:t>
            </w:r>
          </w:p>
        </w:tc>
      </w:tr>
    </w:tbl>
    <w:p w14:paraId="7DC23F1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72D001" w14:textId="77777777" w:rsidR="00AA3975" w:rsidRPr="003162A8" w:rsidRDefault="00AA3975" w:rsidP="00F01ED6">
      <w:pPr>
        <w:pStyle w:val="ProductList-Offering2Heading"/>
        <w:keepNext/>
        <w:tabs>
          <w:tab w:val="clear" w:pos="360"/>
          <w:tab w:val="clear" w:pos="720"/>
          <w:tab w:val="clear" w:pos="1080"/>
        </w:tabs>
        <w:outlineLvl w:val="2"/>
      </w:pPr>
      <w:bookmarkStart w:id="343" w:name="_Toc182409703"/>
      <w:r>
        <w:t>Azure OpenAI Service</w:t>
      </w:r>
      <w:bookmarkEnd w:id="343"/>
    </w:p>
    <w:p w14:paraId="62122496" w14:textId="77777777" w:rsidR="00A0172E" w:rsidRPr="003C7AB9" w:rsidRDefault="00A0172E" w:rsidP="00A017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do Período de Disponibilidade e Níveis de Serviço para o Azure OpenAI Service</w:t>
      </w:r>
    </w:p>
    <w:p w14:paraId="76533562"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DF4D70">
        <w:rPr>
          <w:rFonts w:ascii="Calibri" w:eastAsia="Times New Roman" w:hAnsi="Calibri" w:cs="Calibri"/>
          <w:b/>
          <w:bCs/>
          <w:color w:val="000000"/>
          <w:sz w:val="18"/>
          <w:szCs w:val="18"/>
          <w:bdr w:val="none" w:sz="0" w:space="0" w:color="auto" w:frame="1"/>
        </w:rPr>
        <w:t>:</w:t>
      </w:r>
    </w:p>
    <w:p w14:paraId="7133F1B3" w14:textId="77777777" w:rsidR="00A0172E" w:rsidRPr="003C7AB9" w:rsidRDefault="00A0172E" w:rsidP="00A0172E">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“Recurso do Azure OpenAI”</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designa um recurso do Azure do tipo Azure OpenAI criado numa região do Azure numa subscrição do Microsoft Azure.</w:t>
      </w:r>
    </w:p>
    <w:p w14:paraId="70CC5F07" w14:textId="77777777" w:rsidR="00A0172E" w:rsidRPr="003C7AB9" w:rsidRDefault="00A0172E" w:rsidP="00A0172E">
      <w:pPr>
        <w:spacing w:after="0" w:line="240" w:lineRule="auto"/>
        <w:rPr>
          <w:rFonts w:ascii="Calibri" w:eastAsia="Calibri" w:hAnsi="Calibri" w:cs="Calibri"/>
        </w:rPr>
      </w:pPr>
      <w:r>
        <w:rPr>
          <w:rFonts w:ascii="Calibri" w:eastAsia="Times New Roman" w:hAnsi="Calibri" w:cs="Calibri"/>
          <w:b/>
          <w:bCs/>
          <w:color w:val="00188F"/>
          <w:sz w:val="18"/>
          <w:szCs w:val="18"/>
          <w:bdr w:val="none" w:sz="0" w:space="0" w:color="auto" w:frame="1"/>
        </w:rPr>
        <w:t>“Implementação”</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é um ponto final do modelo implementado num Recurso do Azure OpenAI.</w:t>
      </w:r>
    </w:p>
    <w:p w14:paraId="6B668B3F" w14:textId="77777777" w:rsidR="00A0172E" w:rsidRPr="003C7AB9" w:rsidRDefault="00A0172E" w:rsidP="00A0172E">
      <w:pPr>
        <w:spacing w:after="0" w:line="240" w:lineRule="auto"/>
        <w:rPr>
          <w:rFonts w:ascii="Calibri" w:eastAsia="Calibri" w:hAnsi="Calibri" w:cs="Calibri"/>
        </w:rPr>
      </w:pPr>
      <w:r>
        <w:rPr>
          <w:rFonts w:ascii="Calibri" w:eastAsia="Times New Roman" w:hAnsi="Calibri" w:cs="Calibri"/>
          <w:b/>
          <w:bCs/>
          <w:color w:val="00188F"/>
          <w:sz w:val="18"/>
          <w:szCs w:val="18"/>
          <w:bdr w:val="none" w:sz="0" w:space="0" w:color="auto" w:frame="1"/>
        </w:rPr>
        <w:t>“Pedido”</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é uma chamada de API para uma Implementação.</w:t>
      </w:r>
      <w:r>
        <w:br/>
      </w:r>
      <w:r>
        <w:rPr>
          <w:rFonts w:ascii="Calibri" w:eastAsia="Times New Roman" w:hAnsi="Calibri" w:cs="Calibri"/>
          <w:b/>
          <w:bCs/>
          <w:color w:val="00188F"/>
          <w:sz w:val="18"/>
          <w:szCs w:val="18"/>
          <w:bdr w:val="none" w:sz="0" w:space="0" w:color="auto" w:frame="1"/>
        </w:rPr>
        <w:t>“Máximo de Minutos Disponíveis”</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designa o número total de minutos durante os quais uma determinada Implementação esteve implementada por um cliente num recurso do Azure OpenAI durante um Período Aplicável.</w:t>
      </w:r>
    </w:p>
    <w:p w14:paraId="57F8EBE4" w14:textId="77777777" w:rsidR="00A0172E" w:rsidRPr="003C7AB9" w:rsidRDefault="00A0172E" w:rsidP="00A0172E">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“Período de Indisponibilidade”</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designa o número total de minutos durante o Máximo de Minutos Disponíveis durante os quais uma Implementação está indisponível. Um minuto é considerado indisponível se &gt;0,01% dos Pedidos feitos para a implementação durante esse minuto devolverem um Código de Erro. Se não forem feitos Pedidos durante um determinado minuto, pressupõe-se que esse minuto está 100% disponível.</w:t>
      </w:r>
    </w:p>
    <w:p w14:paraId="037E7B59" w14:textId="77777777" w:rsidR="00A0172E" w:rsidRPr="003C7AB9" w:rsidRDefault="00A0172E" w:rsidP="00A0172E">
      <w:pPr>
        <w:spacing w:after="0" w:line="240" w:lineRule="auto"/>
        <w:rPr>
          <w:rFonts w:ascii="Calibri" w:eastAsia="Times New Roman" w:hAnsi="Calibri" w:cs="Calibri"/>
          <w:color w:val="000000"/>
          <w:sz w:val="18"/>
          <w:szCs w:val="18"/>
          <w:bdr w:val="none" w:sz="0" w:space="0" w:color="auto" w:frame="1"/>
        </w:rPr>
      </w:pPr>
      <w:r w:rsidRPr="00A0172E">
        <w:rPr>
          <w:rFonts w:ascii="Calibri" w:hAnsi="Calibri" w:cs="Calibri"/>
          <w:sz w:val="18"/>
          <w:szCs w:val="18"/>
        </w:rPr>
        <w:t>A</w:t>
      </w:r>
      <w:r w:rsidRPr="00526BCA">
        <w:rPr>
          <w:rFonts w:ascii="Calibri" w:hAnsi="Calibri" w:cs="Calibri"/>
        </w:rPr>
        <w:t xml:space="preserve"> </w:t>
      </w:r>
      <w:r>
        <w:rPr>
          <w:rFonts w:ascii="Calibri" w:eastAsia="Times New Roman" w:hAnsi="Calibri" w:cs="Calibri"/>
          <w:b/>
          <w:bCs/>
          <w:color w:val="00188F"/>
          <w:sz w:val="18"/>
          <w:szCs w:val="18"/>
          <w:bdr w:val="none" w:sz="0" w:space="0" w:color="auto" w:frame="1"/>
        </w:rPr>
        <w:t>“Percentagem de Período de Disponibilidade”</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é representada pela seguinte fórmula</w:t>
      </w:r>
    </w:p>
    <w:p w14:paraId="264EBFEE" w14:textId="77777777" w:rsidR="00A0172E" w:rsidRPr="003C7AB9" w:rsidRDefault="00A0172E" w:rsidP="00A0172E">
      <w:pPr>
        <w:shd w:val="clear" w:color="auto" w:fill="FFFFFF"/>
        <w:spacing w:after="0" w:line="240" w:lineRule="auto"/>
        <w:rPr>
          <w:rFonts w:ascii="Calibri" w:eastAsia="Times New Roman" w:hAnsi="Calibri" w:cs="Calibri"/>
          <w:color w:val="000000"/>
          <w:sz w:val="12"/>
          <w:szCs w:val="12"/>
        </w:rPr>
      </w:pPr>
    </w:p>
    <w:p w14:paraId="3625C296" w14:textId="77777777" w:rsidR="00A0172E" w:rsidRPr="003C7AB9" w:rsidRDefault="00000000" w:rsidP="00A0172E">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Máximo de Minutos Disponíveis - Período de Indisponibilidade </m:t>
              </m:r>
            </m:num>
            <m:den>
              <m:r>
                <w:rPr>
                  <w:rFonts w:ascii="Cambria Math" w:eastAsia="Calibri" w:hAnsi="Cambria Math" w:cs="Calibri"/>
                  <w:sz w:val="18"/>
                  <w:szCs w:val="18"/>
                </w:rPr>
                <m:t>Máximo de Minutos Disponíveis</m:t>
              </m:r>
            </m:den>
          </m:f>
          <m:r>
            <w:rPr>
              <w:rFonts w:ascii="Cambria Math" w:eastAsia="Calibri" w:hAnsi="Cambria Math" w:cs="Calibri"/>
              <w:sz w:val="18"/>
              <w:szCs w:val="18"/>
            </w:rPr>
            <m:t xml:space="preserve"> x 100</m:t>
          </m:r>
        </m:oMath>
      </m:oMathPara>
    </w:p>
    <w:p w14:paraId="61A6C603" w14:textId="77777777" w:rsidR="00A0172E" w:rsidRPr="003C7AB9" w:rsidRDefault="00A0172E" w:rsidP="00A0172E">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Crédito de Serviço</w:t>
      </w:r>
      <w:r w:rsidRPr="008B5B02">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0172E" w14:paraId="2D99E4C1"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60752E8"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720464BF"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A0172E" w14:paraId="3B32574B"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E99336"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32C142F4"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0172E" w14:paraId="2D932651"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54BAB1F"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2F073B2"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131C32D"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p>
    <w:p w14:paraId="6D194F57" w14:textId="77777777" w:rsidR="00A0172E" w:rsidRPr="003C7AB9" w:rsidRDefault="00A0172E" w:rsidP="00A017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da Latência e Níveis de Serviço para Implementações Geridas com Débito Aprovisionado do Azure OpenAI</w:t>
      </w:r>
    </w:p>
    <w:p w14:paraId="17CD89A5" w14:textId="77777777" w:rsidR="00A0172E" w:rsidRPr="003C7AB9" w:rsidRDefault="00A0172E" w:rsidP="00A017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Definições Adicionais</w:t>
      </w:r>
    </w:p>
    <w:p w14:paraId="43264D64"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Implementação do Azure OpenAI</w:t>
      </w:r>
      <w:r>
        <w:rPr>
          <w:rFonts w:ascii="Calibri" w:eastAsia="Times New Roman" w:hAnsi="Calibri" w:cs="Calibri"/>
          <w:color w:val="000000"/>
          <w:sz w:val="18"/>
          <w:szCs w:val="18"/>
          <w:bdr w:val="none" w:sz="0" w:space="0" w:color="auto" w:frame="1"/>
        </w:rPr>
        <w:t xml:space="preserve">” é um modelo de implementação do Azure OpenAI para um modelo aplicável num recurso do Azure OpenAI. </w:t>
      </w:r>
    </w:p>
    <w:p w14:paraId="2F73D5FD"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Implementação Gerida Aprovisionada do Azure OpenAI</w:t>
      </w:r>
      <w:r>
        <w:rPr>
          <w:rFonts w:ascii="Calibri" w:eastAsia="Times New Roman" w:hAnsi="Calibri" w:cs="Calibri"/>
          <w:color w:val="000000"/>
          <w:sz w:val="18"/>
          <w:szCs w:val="18"/>
          <w:bdr w:val="none" w:sz="0" w:space="0" w:color="auto" w:frame="1"/>
        </w:rPr>
        <w:t xml:space="preserve">” é uma implementação de modelo do Azure OpenAI configurada para utilizar a capacidade de gestão aprovisionada que oferece capacidade de processamento de modelo reservado com um valor-alvo de latência de SLA conforme especificado na </w:t>
      </w:r>
      <w:hyperlink r:id="rId25" w:anchor="how-much-throughput-per-ptu-you-get-for-each-model" w:history="1">
        <w:r>
          <w:rPr>
            <w:rFonts w:ascii="Calibri" w:eastAsia="Times New Roman" w:hAnsi="Calibri" w:cs="Calibri"/>
            <w:color w:val="0563C1"/>
            <w:sz w:val="18"/>
            <w:szCs w:val="18"/>
            <w:u w:val="single"/>
            <w:bdr w:val="none" w:sz="0" w:space="0" w:color="auto" w:frame="1"/>
          </w:rPr>
          <w:t>documentação sobre a Implementação Gerida Aprovisionada do Azure OpenAI</w:t>
        </w:r>
      </w:hyperlink>
      <w:r>
        <w:rPr>
          <w:rFonts w:ascii="Calibri" w:eastAsia="Times New Roman" w:hAnsi="Calibri" w:cs="Calibri"/>
          <w:color w:val="000000"/>
          <w:sz w:val="18"/>
          <w:szCs w:val="18"/>
          <w:bdr w:val="none" w:sz="0" w:space="0" w:color="auto" w:frame="1"/>
        </w:rPr>
        <w:t>.</w:t>
      </w:r>
    </w:p>
    <w:p w14:paraId="09E50A87"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Tamanho Máximo do Pedido</w:t>
      </w:r>
      <w:r>
        <w:rPr>
          <w:rFonts w:ascii="Calibri" w:eastAsia="Times New Roman" w:hAnsi="Calibri" w:cs="Calibri"/>
          <w:color w:val="000000"/>
          <w:sz w:val="18"/>
          <w:szCs w:val="18"/>
          <w:bdr w:val="none" w:sz="0" w:space="0" w:color="auto" w:frame="1"/>
        </w:rPr>
        <w:t xml:space="preserve">” designa o número máximo de tokens de entrada e saída que pode ser incluído num determinado pedido para um modelo especificado do Azure OpenAI, conforme especificado na </w:t>
      </w:r>
      <w:hyperlink r:id="rId26" w:history="1">
        <w:r>
          <w:rPr>
            <w:rFonts w:ascii="Calibri" w:eastAsia="Times New Roman" w:hAnsi="Calibri" w:cs="Calibri"/>
            <w:color w:val="0563C1"/>
            <w:sz w:val="18"/>
            <w:szCs w:val="18"/>
            <w:u w:val="single"/>
            <w:bdr w:val="none" w:sz="0" w:space="0" w:color="auto" w:frame="1"/>
          </w:rPr>
          <w:t>documentação sobre Modelos do Azure OpenAI</w:t>
        </w:r>
      </w:hyperlink>
      <w:r>
        <w:rPr>
          <w:rFonts w:ascii="Calibri" w:eastAsia="Times New Roman" w:hAnsi="Calibri" w:cs="Calibri"/>
          <w:color w:val="000000"/>
          <w:sz w:val="18"/>
          <w:szCs w:val="18"/>
          <w:bdr w:val="none" w:sz="0" w:space="0" w:color="auto" w:frame="1"/>
        </w:rPr>
        <w:t>.</w:t>
      </w:r>
    </w:p>
    <w:p w14:paraId="32D198B0"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designa o número de Pedidos Com Êxito feitos para uma Implementação Gerida com Débito Aprovisionado do Azure OpenAI com um tamanho máximo do pedido menor ou igual ao limite fornecido para o modelo do Azure OpenAI especificado num determinado minuto.</w:t>
      </w:r>
    </w:p>
    <w:p w14:paraId="2DDB61E5"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Tokens Por Segundo</w:t>
      </w:r>
      <w:r>
        <w:rPr>
          <w:rFonts w:ascii="Calibri" w:eastAsia="Times New Roman" w:hAnsi="Calibri" w:cs="Calibri"/>
          <w:color w:val="000000"/>
          <w:sz w:val="18"/>
          <w:szCs w:val="18"/>
          <w:bdr w:val="none" w:sz="0" w:space="0" w:color="auto" w:frame="1"/>
        </w:rPr>
        <w:t xml:space="preserve">” designa uma medição de latência que enumera a velocidade de geração de uma determinada resposta do modelo do Azure OpenAI. O total de tokens gerados é dividido pelo tempo necessário para gerá-los. Os tokens gerados são contados como todos os tokens gerados após o primeiro token. </w:t>
      </w:r>
    </w:p>
    <w:p w14:paraId="54474C62"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Valor-alvo de Latência do SLA</w:t>
      </w:r>
      <w:r>
        <w:rPr>
          <w:rFonts w:ascii="Calibri" w:eastAsia="Times New Roman" w:hAnsi="Calibri" w:cs="Calibri"/>
          <w:color w:val="000000"/>
          <w:sz w:val="18"/>
          <w:szCs w:val="18"/>
          <w:bdr w:val="none" w:sz="0" w:space="0" w:color="auto" w:frame="1"/>
        </w:rPr>
        <w:t xml:space="preserve">” designa a meta de latência em Tokens Por Segundo para um determinado modelo, conforme especificado na </w:t>
      </w:r>
      <w:hyperlink r:id="rId27" w:anchor="how-much-throughput-per-ptu-you-get-for-each-model" w:history="1">
        <w:r>
          <w:rPr>
            <w:rFonts w:ascii="Calibri" w:eastAsia="Times New Roman" w:hAnsi="Calibri" w:cs="Calibri"/>
            <w:color w:val="0563C1"/>
            <w:sz w:val="18"/>
            <w:szCs w:val="18"/>
            <w:u w:val="single"/>
            <w:bdr w:val="none" w:sz="0" w:space="0" w:color="auto" w:frame="1"/>
          </w:rPr>
          <w:t>documentação sobre a Implementação Gerida Aprovisionada do Azure OpenAI</w:t>
        </w:r>
      </w:hyperlink>
      <w:r>
        <w:rPr>
          <w:rFonts w:ascii="Calibri" w:eastAsia="Times New Roman" w:hAnsi="Calibri" w:cs="Calibri"/>
          <w:color w:val="000000"/>
          <w:sz w:val="18"/>
          <w:szCs w:val="18"/>
          <w:bdr w:val="none" w:sz="0" w:space="0" w:color="auto" w:frame="1"/>
        </w:rPr>
        <w:t>.</w:t>
      </w:r>
    </w:p>
    <w:p w14:paraId="4E4A1C4C"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designa os tempos de resposta em N que cumprem os seguintes critérios e são determinados da seguinte forma:</w:t>
      </w:r>
    </w:p>
    <w:p w14:paraId="0C2C8181" w14:textId="77777777" w:rsidR="00A0172E" w:rsidRPr="003C7AB9" w:rsidRDefault="00A0172E" w:rsidP="00A0172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Tokens Por Segundo para as chamadas que geram mais tokens do que o Valor-alvo de Latência do SLA OU que demoram mais de 1 segundo a gerar todas as respostas</w:t>
      </w:r>
    </w:p>
    <w:p w14:paraId="2270E8F0" w14:textId="77777777" w:rsidR="00A0172E" w:rsidRPr="003C7AB9" w:rsidRDefault="00A0172E" w:rsidP="00A0172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Valor-alvo de Latência do SLA para as chamadas que geram um valor menor ou igual ao Valor-alvo de Latência do SLA E que demoram menos de 1 segundo a gerar todos os tokens de resposta</w:t>
      </w:r>
    </w:p>
    <w:p w14:paraId="60A50611" w14:textId="77777777" w:rsidR="00A0172E" w:rsidRPr="003C7AB9" w:rsidRDefault="00A0172E" w:rsidP="00A0172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para todas as chamadas que geram 1 ou menos tokens </w:t>
      </w:r>
    </w:p>
    <w:p w14:paraId="35E6B3EF"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Média de Tokens Por Segundo</w:t>
      </w:r>
      <w:r>
        <w:rPr>
          <w:rFonts w:ascii="Calibri" w:eastAsia="Times New Roman" w:hAnsi="Calibri" w:cs="Calibri"/>
          <w:color w:val="000000"/>
          <w:sz w:val="18"/>
          <w:szCs w:val="18"/>
          <w:bdr w:val="none" w:sz="0" w:space="0" w:color="auto" w:frame="1"/>
        </w:rPr>
        <w:t xml:space="preserve">” designa a média de Tokens Por Segundo para todos os S num determinado minuto. </w:t>
      </w:r>
    </w:p>
    <w:p w14:paraId="6E91B808"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Minutos de Latência Excessiva</w:t>
      </w:r>
      <w:r>
        <w:rPr>
          <w:rFonts w:ascii="Calibri" w:eastAsia="Times New Roman" w:hAnsi="Calibri" w:cs="Calibri"/>
          <w:color w:val="000000"/>
          <w:sz w:val="18"/>
          <w:szCs w:val="18"/>
          <w:bdr w:val="none" w:sz="0" w:space="0" w:color="auto" w:frame="1"/>
        </w:rPr>
        <w:t>”</w:t>
      </w:r>
      <w:r w:rsidRPr="002258B4">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designa o número total de intervalos de um minuto durante os quais a Média de Tokens Por Segundo é menor que o Valor-alvo de Latência do SLA. Se N for zero, os Minutos de Latência Excessiva para esse intervalo são 0. </w:t>
      </w:r>
    </w:p>
    <w:p w14:paraId="674DED6F"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Taxa Média de Latência Excessiva</w:t>
      </w:r>
      <w:r>
        <w:rPr>
          <w:rFonts w:ascii="Calibri" w:eastAsia="Times New Roman" w:hAnsi="Calibri" w:cs="Calibri"/>
          <w:color w:val="000000"/>
          <w:sz w:val="18"/>
          <w:szCs w:val="18"/>
          <w:bdr w:val="none" w:sz="0" w:space="0" w:color="auto" w:frame="1"/>
        </w:rPr>
        <w:t>” para um Período Aplicável é a soma de Minutos de Latência Excessiva dividida pelo número total de minutos no Período Aplicável.</w:t>
      </w:r>
    </w:p>
    <w:p w14:paraId="339AB622"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Percentagem de Realização Média</w:t>
      </w:r>
      <w:r>
        <w:rPr>
          <w:rFonts w:ascii="Calibri" w:eastAsia="Times New Roman" w:hAnsi="Calibri" w:cs="Calibri"/>
          <w:color w:val="000000"/>
          <w:sz w:val="18"/>
          <w:szCs w:val="18"/>
          <w:bdr w:val="none" w:sz="0" w:space="0" w:color="auto" w:frame="1"/>
        </w:rPr>
        <w:t xml:space="preserve">” para uma determinada Implementação Gerida com Débito Aprovisionado do Azure OpenAI é calculada ao subtrair de 100% da Taxa de Latência Excessiva Média para um determinado recurso do Azure OpenAI num Período Aplicável. </w:t>
      </w:r>
    </w:p>
    <w:p w14:paraId="514A0507"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p>
    <w:p w14:paraId="1FAFACBF"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Percentagem de Realização de Latência de Tempo Entre Tokens é representada pela seguinte fórmula:</w:t>
      </w:r>
    </w:p>
    <w:p w14:paraId="3182CEA4"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p>
    <w:p w14:paraId="023E2659" w14:textId="77777777" w:rsidR="00A0172E" w:rsidRPr="003C7AB9" w:rsidRDefault="00A0172E" w:rsidP="00A0172E">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Taxa de Latência Excessiva Média</m:t>
          </m:r>
        </m:oMath>
      </m:oMathPara>
    </w:p>
    <w:p w14:paraId="2551E3B9" w14:textId="77777777" w:rsidR="00A0172E" w:rsidRPr="003C7AB9" w:rsidRDefault="00A0172E" w:rsidP="00A0172E">
      <w:pPr>
        <w:shd w:val="clear" w:color="auto" w:fill="FFFFFF"/>
        <w:spacing w:after="0" w:line="240" w:lineRule="auto"/>
        <w:rPr>
          <w:rFonts w:ascii="Calibri" w:eastAsia="Times New Roman" w:hAnsi="Calibri" w:cs="Calibri"/>
          <w:sz w:val="18"/>
          <w:szCs w:val="18"/>
        </w:rPr>
      </w:pPr>
    </w:p>
    <w:p w14:paraId="5199FD4F" w14:textId="77777777" w:rsidR="00A0172E" w:rsidRPr="003C7AB9" w:rsidRDefault="00A0172E" w:rsidP="00A017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Crédito de Serviço para Implementações Geridas com Débito Aprovisionado do Azure OpenAI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0172E" w14:paraId="2BB087CD" w14:textId="77777777" w:rsidTr="00085EF8">
        <w:trPr>
          <w:tblHeader/>
        </w:trPr>
        <w:tc>
          <w:tcPr>
            <w:tcW w:w="5400" w:type="dxa"/>
            <w:shd w:val="clear" w:color="auto" w:fill="0072C6"/>
          </w:tcPr>
          <w:p w14:paraId="1B97AD06" w14:textId="77777777" w:rsidR="00A0172E" w:rsidRPr="003C7AB9" w:rsidRDefault="00A0172E"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Concretização Média</w:t>
            </w:r>
          </w:p>
        </w:tc>
        <w:tc>
          <w:tcPr>
            <w:tcW w:w="5400" w:type="dxa"/>
            <w:shd w:val="clear" w:color="auto" w:fill="0072C6"/>
          </w:tcPr>
          <w:p w14:paraId="24D5732F" w14:textId="77777777" w:rsidR="00A0172E" w:rsidRPr="003C7AB9" w:rsidRDefault="00A0172E"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A0172E" w14:paraId="2B1E6570" w14:textId="77777777" w:rsidTr="00085EF8">
        <w:tc>
          <w:tcPr>
            <w:tcW w:w="5400" w:type="dxa"/>
          </w:tcPr>
          <w:p w14:paraId="2E568004" w14:textId="77777777" w:rsidR="00A0172E" w:rsidRPr="003C7AB9" w:rsidRDefault="00A0172E"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779EA4D" w14:textId="77777777" w:rsidR="00A0172E" w:rsidRPr="003C7AB9" w:rsidRDefault="00A0172E"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2260940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399A6CC" w14:textId="5674729E" w:rsidR="00483861" w:rsidRDefault="00483861" w:rsidP="00F01ED6">
      <w:pPr>
        <w:pStyle w:val="ProductList-Offering2Heading"/>
        <w:keepNext/>
        <w:tabs>
          <w:tab w:val="clear" w:pos="360"/>
          <w:tab w:val="clear" w:pos="720"/>
          <w:tab w:val="clear" w:pos="1080"/>
        </w:tabs>
        <w:outlineLvl w:val="2"/>
      </w:pPr>
      <w:bookmarkStart w:id="344" w:name="_Toc182409704"/>
      <w:r>
        <w:t>Azure Operator</w:t>
      </w:r>
      <w:r w:rsidR="0032241C">
        <w:t xml:space="preserve"> Insights</w:t>
      </w:r>
      <w:bookmarkEnd w:id="344"/>
    </w:p>
    <w:p w14:paraId="16B89AB8" w14:textId="77777777" w:rsidR="00C46E27" w:rsidRPr="00FE11F7" w:rsidRDefault="00C46E27" w:rsidP="00C46E2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Definições Adicionais</w:t>
      </w:r>
      <w:r w:rsidRPr="004C060D">
        <w:rPr>
          <w:rFonts w:ascii="Calibri" w:eastAsia="Calibri" w:hAnsi="Calibri" w:cs="Arial"/>
          <w:b/>
          <w:bCs/>
          <w:color w:val="00188F"/>
          <w:sz w:val="18"/>
          <w:bdr w:val="none" w:sz="0" w:space="0" w:color="auto" w:frame="1"/>
        </w:rPr>
        <w:t>:</w:t>
      </w:r>
    </w:p>
    <w:p w14:paraId="43144D4D" w14:textId="77777777" w:rsidR="00C46E27" w:rsidRPr="00FE11F7" w:rsidRDefault="00C46E27" w:rsidP="00C46E2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Transações Excluídas</w:t>
      </w:r>
      <w:r>
        <w:rPr>
          <w:rFonts w:ascii="Calibri" w:eastAsia="Calibri" w:hAnsi="Calibri" w:cs="Calibri"/>
          <w:sz w:val="18"/>
        </w:rPr>
        <w:t xml:space="preserve"> designa </w:t>
      </w:r>
      <w:r>
        <w:rPr>
          <w:rFonts w:ascii="Calibri" w:eastAsia="Calibri" w:hAnsi="Calibri" w:cs="Calibri"/>
          <w:sz w:val="18"/>
          <w:szCs w:val="18"/>
        </w:rPr>
        <w:t>as transações de armazenamento que não são consideradas como Total de Transações de Armazenamento ou Transações de Armazenamento com Falhas.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7CE64F3F" w14:textId="77777777" w:rsidR="00C46E27" w:rsidRPr="006A1999" w:rsidRDefault="00C46E27" w:rsidP="00C46E27">
      <w:pPr>
        <w:spacing w:after="0" w:line="240" w:lineRule="auto"/>
        <w:rPr>
          <w:rFonts w:ascii="Calibri" w:eastAsia="Calibri" w:hAnsi="Calibri" w:cs="Calibri"/>
          <w:b/>
          <w:color w:val="000000"/>
          <w:sz w:val="18"/>
          <w:szCs w:val="18"/>
          <w:lang w:val="es-ES"/>
        </w:rPr>
      </w:pPr>
      <w:r>
        <w:rPr>
          <w:rFonts w:ascii="Calibri" w:eastAsia="Calibri" w:hAnsi="Calibri" w:cs="Calibri"/>
          <w:b/>
          <w:color w:val="00188F"/>
          <w:sz w:val="18"/>
          <w:szCs w:val="18"/>
        </w:rPr>
        <w:t>API de Ingestão</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designa a API de blobs de ADLS, diretamente para a conta de armazenamento de entrada.</w:t>
      </w:r>
    </w:p>
    <w:p w14:paraId="2A7B20A5" w14:textId="77777777" w:rsidR="00C46E27" w:rsidRPr="006A1999" w:rsidRDefault="00C46E27" w:rsidP="00C46E27">
      <w:pPr>
        <w:spacing w:after="0" w:line="240" w:lineRule="auto"/>
        <w:rPr>
          <w:rFonts w:ascii="Calibri" w:eastAsia="Calibri" w:hAnsi="Calibri" w:cs="Calibri"/>
          <w:sz w:val="18"/>
          <w:szCs w:val="18"/>
          <w:lang w:val="es-ES"/>
        </w:rPr>
      </w:pPr>
      <w:r>
        <w:rPr>
          <w:rFonts w:ascii="Calibri" w:eastAsia="Calibri" w:hAnsi="Calibri" w:cs="Calibri"/>
          <w:b/>
          <w:color w:val="00188F"/>
          <w:sz w:val="18"/>
          <w:szCs w:val="18"/>
        </w:rPr>
        <w:t>Total de Transações de Armazenamento</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pedidos da API REST autenticados feitos para a API de Ingestão e não inclui as Transações Excluídas.</w:t>
      </w:r>
    </w:p>
    <w:p w14:paraId="50A01E0D" w14:textId="77777777" w:rsidR="00C46E27" w:rsidRPr="00FE11F7" w:rsidRDefault="00C46E27" w:rsidP="00C46E27">
      <w:pPr>
        <w:spacing w:after="0" w:line="240" w:lineRule="auto"/>
        <w:rPr>
          <w:rFonts w:ascii="Calibri" w:eastAsia="Calibri" w:hAnsi="Calibri" w:cs="Calibri"/>
          <w:sz w:val="18"/>
          <w:szCs w:val="18"/>
        </w:rPr>
      </w:pPr>
      <w:r>
        <w:rPr>
          <w:rFonts w:ascii="Calibri" w:eastAsia="Calibri" w:hAnsi="Calibri" w:cs="Calibri"/>
          <w:b/>
          <w:color w:val="00188F"/>
          <w:sz w:val="18"/>
          <w:szCs w:val="18"/>
        </w:rPr>
        <w:t>Transações de Armazenamento com Falhas</w:t>
      </w:r>
      <w:r>
        <w:rPr>
          <w:rFonts w:ascii="Calibri" w:eastAsia="Calibri" w:hAnsi="Calibri" w:cs="Calibri"/>
          <w:color w:val="00188F"/>
          <w:sz w:val="18"/>
          <w:szCs w:val="18"/>
        </w:rPr>
        <w:t xml:space="preserve"> </w:t>
      </w:r>
      <w:r>
        <w:rPr>
          <w:rFonts w:ascii="Calibri" w:eastAsia="Calibri" w:hAnsi="Calibri" w:cs="Calibri"/>
          <w:sz w:val="18"/>
          <w:szCs w:val="18"/>
        </w:rPr>
        <w:t>designa o conjunto de todas as transações de armazenamento no Total de Transações de Armazenamento que não são concluídas no Tempo Máximo de Processamento associado ao respetivo tipo de transação, tal como especificado na tabela abaixo. O Tempo Máximo de Processamento inclui apenas o tempo despendido no processamento de um pedido de transação no Serviço de Armazenamento e não inclui nenhum tempo despendido na transferência do pedido para ou do Serviço de Armazenamento.</w:t>
      </w:r>
    </w:p>
    <w:p w14:paraId="29ADB6D6" w14:textId="77777777" w:rsidR="00C46E27" w:rsidRPr="00C46E27" w:rsidRDefault="00C46E27" w:rsidP="00C46E27">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C46E27" w:rsidRPr="00FE11F7" w14:paraId="02C013F9"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84BE89E"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Tipos de Transação</w:t>
            </w:r>
          </w:p>
        </w:tc>
        <w:tc>
          <w:tcPr>
            <w:tcW w:w="5381" w:type="dxa"/>
            <w:tcBorders>
              <w:top w:val="single" w:sz="8" w:space="0" w:color="000000"/>
              <w:left w:val="nil"/>
              <w:bottom w:val="single" w:sz="8" w:space="0" w:color="000000"/>
              <w:right w:val="single" w:sz="8" w:space="0" w:color="000000"/>
            </w:tcBorders>
            <w:shd w:val="clear" w:color="auto" w:fill="0072C6"/>
            <w:hideMark/>
          </w:tcPr>
          <w:p w14:paraId="6327A3B4"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Tempo Máximo de Processamento</w:t>
            </w:r>
          </w:p>
        </w:tc>
      </w:tr>
      <w:tr w:rsidR="00C46E27" w:rsidRPr="00FE11F7" w14:paraId="4B4D581D"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DCAFA4C"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 GetBlob (inclui blocos e páginas)</w:t>
            </w:r>
            <w:r>
              <w:br/>
            </w:r>
            <w:r>
              <w:rPr>
                <w:rFonts w:ascii="Calibri" w:eastAsia="Calibri" w:hAnsi="Calibri" w:cs="Calibri"/>
                <w:sz w:val="16"/>
                <w:szCs w:val="16"/>
              </w:rPr>
              <w:t>Obter Intervalos de Blobs de Páginas Válidos</w:t>
            </w:r>
          </w:p>
        </w:tc>
        <w:tc>
          <w:tcPr>
            <w:tcW w:w="5381" w:type="dxa"/>
            <w:tcBorders>
              <w:top w:val="nil"/>
              <w:left w:val="nil"/>
              <w:bottom w:val="single" w:sz="8" w:space="0" w:color="000000"/>
              <w:right w:val="single" w:sz="8" w:space="0" w:color="000000"/>
            </w:tcBorders>
            <w:shd w:val="clear" w:color="auto" w:fill="FFFFFF"/>
          </w:tcPr>
          <w:p w14:paraId="0EF0E9FD"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decorrer do processamento do pedido</w:t>
            </w:r>
          </w:p>
        </w:tc>
      </w:tr>
      <w:tr w:rsidR="00C46E27" w:rsidRPr="00FE11F7" w14:paraId="4298BA6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13A3C21"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 GetFile</w:t>
            </w:r>
          </w:p>
        </w:tc>
        <w:tc>
          <w:tcPr>
            <w:tcW w:w="5381" w:type="dxa"/>
            <w:tcBorders>
              <w:top w:val="nil"/>
              <w:left w:val="nil"/>
              <w:bottom w:val="single" w:sz="8" w:space="0" w:color="000000"/>
              <w:right w:val="single" w:sz="8" w:space="0" w:color="000000"/>
            </w:tcBorders>
            <w:shd w:val="clear" w:color="auto" w:fill="FFFFFF"/>
          </w:tcPr>
          <w:p w14:paraId="6221B7E5"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decorrer do processamento do pedido</w:t>
            </w:r>
          </w:p>
        </w:tc>
      </w:tr>
    </w:tbl>
    <w:p w14:paraId="78342F66" w14:textId="77777777" w:rsidR="00C46E27" w:rsidRPr="00FE11F7" w:rsidRDefault="00C46E27" w:rsidP="00C46E27">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Estes algarismos representam os tempos máximos de processamento. Estima-se que os tempos reais e médios sejam muito mais baixos.</w:t>
      </w:r>
    </w:p>
    <w:p w14:paraId="050B536B" w14:textId="77777777" w:rsidR="00C46E27" w:rsidRPr="00C46E27" w:rsidRDefault="00C46E27" w:rsidP="00C46E27">
      <w:pPr>
        <w:spacing w:after="0" w:line="240" w:lineRule="auto"/>
        <w:contextualSpacing/>
        <w:rPr>
          <w:rFonts w:ascii="Calibri" w:eastAsia="Calibri" w:hAnsi="Calibri" w:cs="Calibri"/>
          <w:sz w:val="12"/>
          <w:szCs w:val="12"/>
          <w:lang w:val="es-ES"/>
        </w:rPr>
      </w:pPr>
    </w:p>
    <w:p w14:paraId="1E8BF0FC" w14:textId="77777777" w:rsidR="00C46E27" w:rsidRPr="006A1999" w:rsidRDefault="00C46E27" w:rsidP="00C46E27">
      <w:pPr>
        <w:spacing w:after="0" w:line="240" w:lineRule="auto"/>
        <w:rPr>
          <w:rFonts w:ascii="Calibri" w:eastAsia="Calibri" w:hAnsi="Calibri" w:cs="Calibri"/>
          <w:sz w:val="18"/>
          <w:szCs w:val="18"/>
          <w:lang w:val="es-ES"/>
        </w:rPr>
      </w:pPr>
      <w:r>
        <w:rPr>
          <w:rFonts w:ascii="Calibri" w:eastAsia="Calibri" w:hAnsi="Calibri" w:cs="Calibri"/>
          <w:sz w:val="18"/>
          <w:szCs w:val="18"/>
        </w:rPr>
        <w:t>As Transações de Armazenamento com Falha não incluem:</w:t>
      </w:r>
    </w:p>
    <w:p w14:paraId="79A8C777" w14:textId="77777777" w:rsidR="00C46E27" w:rsidRPr="006A1999" w:rsidRDefault="00C46E27" w:rsidP="00C46E27">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Pedidos de transação que são limitados pelo Serviço de Armazenamento devido a uma falha em respeitar os princípios de término adequados.</w:t>
      </w:r>
    </w:p>
    <w:p w14:paraId="5AF90ADA" w14:textId="77777777" w:rsidR="00C46E27" w:rsidRPr="006A1999" w:rsidRDefault="00C46E27" w:rsidP="00C46E27">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Pedidos de transação com tempos limite inferiores aos respetivos Tempos Máximos de Processamento especificados acima.</w:t>
      </w:r>
    </w:p>
    <w:p w14:paraId="1F223952" w14:textId="77777777" w:rsidR="00C46E27" w:rsidRPr="006A1999" w:rsidRDefault="00C46E27" w:rsidP="00C46E27">
      <w:pPr>
        <w:contextualSpacing/>
        <w:rPr>
          <w:rFonts w:ascii="Calibri" w:eastAsia="Calibri" w:hAnsi="Calibri" w:cs="Calibri"/>
          <w:sz w:val="18"/>
          <w:szCs w:val="18"/>
          <w:lang w:val="es-ES"/>
        </w:rPr>
      </w:pPr>
      <w:r>
        <w:rPr>
          <w:rFonts w:ascii="Calibri" w:eastAsia="Calibri" w:hAnsi="Calibri" w:cs="Calibri"/>
          <w:b/>
          <w:color w:val="00188F"/>
          <w:sz w:val="18"/>
          <w:szCs w:val="18"/>
        </w:rPr>
        <w:t>Total de Erros</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Transações de Armazenamento com Falhas a dividir pelo Total de Transações de Armazenamento durante um período de tempo determinado (atualmente uma hora). Se o Total de Transações de Armazenamento num intervalo de uma hora for zero, a taxa de erros para esse intervalo é 0%.</w:t>
      </w:r>
    </w:p>
    <w:p w14:paraId="7EFDB662" w14:textId="77777777" w:rsidR="00C46E27" w:rsidRPr="006A1999" w:rsidRDefault="00C46E27" w:rsidP="00C46E27">
      <w:pPr>
        <w:contextualSpacing/>
        <w:rPr>
          <w:rFonts w:ascii="Calibri" w:eastAsia="Calibri" w:hAnsi="Calibri" w:cs="Calibri"/>
          <w:sz w:val="18"/>
          <w:szCs w:val="18"/>
          <w:lang w:val="es-ES"/>
        </w:rPr>
      </w:pPr>
      <w:r w:rsidRPr="00472019">
        <w:rPr>
          <w:rFonts w:ascii="Calibri" w:eastAsia="Calibri" w:hAnsi="Calibri" w:cs="Calibri"/>
          <w:sz w:val="18"/>
          <w:szCs w:val="18"/>
        </w:rPr>
        <w:t xml:space="preserve">A </w:t>
      </w:r>
      <w:r>
        <w:rPr>
          <w:rFonts w:ascii="Calibri" w:eastAsia="Calibri" w:hAnsi="Calibri" w:cs="Calibri"/>
          <w:b/>
          <w:color w:val="00188F"/>
          <w:sz w:val="18"/>
          <w:szCs w:val="18"/>
        </w:rPr>
        <w:t>Taxa Média de Erros</w:t>
      </w:r>
      <w:r>
        <w:rPr>
          <w:rFonts w:ascii="Calibri" w:eastAsia="Calibri" w:hAnsi="Calibri" w:cs="Calibri"/>
          <w:color w:val="00188F"/>
          <w:sz w:val="18"/>
          <w:szCs w:val="18"/>
        </w:rPr>
        <w:t xml:space="preserve"> </w:t>
      </w:r>
      <w:r>
        <w:rPr>
          <w:rFonts w:ascii="Calibri" w:eastAsia="Calibri" w:hAnsi="Calibri" w:cs="Calibri"/>
          <w:sz w:val="18"/>
          <w:szCs w:val="18"/>
        </w:rPr>
        <w:t>para um Período Aplicável designa a soma das Taxas de Erros para cada hora no Período Aplicável a dividir pelo número total de horas no Período Aplicável.</w:t>
      </w:r>
    </w:p>
    <w:p w14:paraId="664AC543" w14:textId="77777777" w:rsidR="00C46E27" w:rsidRPr="00FE11F7" w:rsidRDefault="00C46E27" w:rsidP="00C46E27">
      <w:pPr>
        <w:spacing w:after="0" w:line="240" w:lineRule="auto"/>
        <w:rPr>
          <w:rFonts w:ascii="Calibri" w:eastAsia="Calibri" w:hAnsi="Calibri" w:cs="Calibri"/>
          <w:sz w:val="18"/>
          <w:szCs w:val="18"/>
        </w:rPr>
      </w:pPr>
      <w:r>
        <w:rPr>
          <w:rFonts w:ascii="Calibri" w:eastAsia="Calibri" w:hAnsi="Calibri" w:cs="Calibri"/>
          <w:sz w:val="18"/>
          <w:szCs w:val="18"/>
        </w:rPr>
        <w:t>Os seguintes Níveis de Serviço e Créditos de Serviço são aplicáveis à utilização por parte do Cliente de cada Azure Operator Insights:</w:t>
      </w:r>
    </w:p>
    <w:p w14:paraId="5D7E7853" w14:textId="77777777" w:rsidR="00C46E27" w:rsidRPr="00FE11F7" w:rsidRDefault="00C46E27" w:rsidP="00C46E27">
      <w:pPr>
        <w:spacing w:after="0" w:line="240" w:lineRule="auto"/>
        <w:rPr>
          <w:rFonts w:ascii="Calibri" w:eastAsia="Calibri" w:hAnsi="Calibri" w:cs="Calibri"/>
          <w:sz w:val="18"/>
          <w:szCs w:val="18"/>
        </w:rPr>
      </w:pPr>
      <w:r>
        <w:rPr>
          <w:rFonts w:ascii="Calibri" w:eastAsia="Calibri" w:hAnsi="Calibri" w:cs="Calibri"/>
          <w:sz w:val="18"/>
          <w:szCs w:val="18"/>
        </w:rPr>
        <w:t>Percentagem de Período de Disponibilidade: a Percentagem de Período de Disponibilidade é calculada através da seguinte fórmula:</w:t>
      </w:r>
    </w:p>
    <w:p w14:paraId="57DAF1F3" w14:textId="77777777" w:rsidR="00C46E27" w:rsidRPr="00FE11F7" w:rsidRDefault="00C46E27" w:rsidP="00C46E27">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517DBB">
        <w:rPr>
          <w:rFonts w:ascii="Cambria Math" w:eastAsia="Calibri" w:hAnsi="Cambria Math" w:cs="Cambria Math"/>
          <w:i/>
          <w:sz w:val="18"/>
          <w:szCs w:val="18"/>
          <w:lang w:val="es-ES" w:eastAsia="en-US" w:bidi="ar-SA"/>
        </w:rPr>
        <w:t xml:space="preserve">Taxa Média de Erros </w:t>
      </w:r>
    </w:p>
    <w:p w14:paraId="0580E367" w14:textId="77777777" w:rsidR="00C46E27" w:rsidRPr="00FE11F7" w:rsidRDefault="00C46E27" w:rsidP="00C46E27">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Crédito de Serviço</w:t>
      </w:r>
      <w:r w:rsidRPr="004C060D">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C46E27" w:rsidRPr="00FE11F7" w14:paraId="7D8732A8"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CA09E04"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 Mensal</w:t>
            </w:r>
          </w:p>
        </w:tc>
        <w:tc>
          <w:tcPr>
            <w:tcW w:w="5381" w:type="dxa"/>
            <w:tcBorders>
              <w:top w:val="single" w:sz="8" w:space="0" w:color="000000"/>
              <w:left w:val="nil"/>
              <w:bottom w:val="single" w:sz="8" w:space="0" w:color="000000"/>
              <w:right w:val="single" w:sz="8" w:space="0" w:color="000000"/>
            </w:tcBorders>
            <w:shd w:val="clear" w:color="auto" w:fill="0072C6"/>
            <w:hideMark/>
          </w:tcPr>
          <w:p w14:paraId="78DAD0BF"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C46E27" w:rsidRPr="00FE11F7" w14:paraId="3BAFD9BC"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AF603A"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510B5B06"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46E27" w:rsidRPr="00FE11F7" w14:paraId="0F17FBB2"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440D1FE"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5C4EF2B"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61FA28C" w14:textId="77777777" w:rsidR="00C46E27" w:rsidRPr="00CF77C2" w:rsidRDefault="00C46E27" w:rsidP="00C46E2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Índice" w:history="1">
        <w:r>
          <w:rPr>
            <w:rStyle w:val="Hyperlink"/>
            <w:rFonts w:ascii="Calibri" w:hAnsi="Calibri" w:cs="Calibri"/>
            <w:sz w:val="16"/>
            <w:szCs w:val="16"/>
          </w:rPr>
          <w:t>Índice</w:t>
        </w:r>
      </w:hyperlink>
      <w:r>
        <w:rPr>
          <w:rFonts w:ascii="Calibri" w:hAnsi="Calibri" w:cs="Calibri"/>
          <w:sz w:val="16"/>
          <w:szCs w:val="16"/>
        </w:rPr>
        <w:t xml:space="preserve"> / </w:t>
      </w:r>
      <w:hyperlink w:anchor="Definições" w:tooltip="Definições" w:history="1">
        <w:r>
          <w:rPr>
            <w:rStyle w:val="Hyperlink"/>
            <w:rFonts w:ascii="Calibri" w:hAnsi="Calibri" w:cs="Calibri"/>
            <w:sz w:val="16"/>
            <w:szCs w:val="16"/>
          </w:rPr>
          <w:t>Definições</w:t>
        </w:r>
      </w:hyperlink>
    </w:p>
    <w:p w14:paraId="5CF3AECD" w14:textId="627C1B61" w:rsidR="00C46E27" w:rsidRDefault="00DE1335" w:rsidP="00F01ED6">
      <w:pPr>
        <w:pStyle w:val="ProductList-Offering2Heading"/>
        <w:keepNext/>
        <w:tabs>
          <w:tab w:val="clear" w:pos="360"/>
          <w:tab w:val="clear" w:pos="720"/>
          <w:tab w:val="clear" w:pos="1080"/>
        </w:tabs>
        <w:outlineLvl w:val="2"/>
      </w:pPr>
      <w:bookmarkStart w:id="345" w:name="_Toc182409705"/>
      <w:r>
        <w:t>Azure Operator Service Manager</w:t>
      </w:r>
      <w:bookmarkEnd w:id="345"/>
    </w:p>
    <w:p w14:paraId="648013B5"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C060D">
        <w:rPr>
          <w:rFonts w:ascii="Calibri" w:eastAsia="Calibri" w:hAnsi="Calibri" w:cs="Arial"/>
          <w:b/>
          <w:bCs/>
          <w:color w:val="00188F"/>
          <w:sz w:val="18"/>
          <w:bdr w:val="none" w:sz="0" w:space="0" w:color="auto" w:frame="1"/>
        </w:rPr>
        <w:t>:</w:t>
      </w:r>
    </w:p>
    <w:p w14:paraId="2080F62D"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Honorários dos Serviços Aplicáveis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dos honorários efetivamente pagos pelo Cliente por um Serviço que é aplicado ao Período Aplicável em que um Crédito de Serviço é devido.</w:t>
      </w:r>
    </w:p>
    <w:p w14:paraId="0E70D3A6"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Nível de serviço</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as métricas de desempenho estabelecidas neste SLA que a Microsoft aceita cumprir na prestação dos Serviços.</w:t>
      </w:r>
    </w:p>
    <w:p w14:paraId="19743CBB"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Máximo de Minutos Disponíveis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de minutos acumulados durante um Período Aplicável em que pelo menos um recurso do Azure Operator Service Manager Site Network Service esteve implementado numa Subscrição do Microsoft Azure.</w:t>
      </w:r>
    </w:p>
    <w:p w14:paraId="1B4A98F8"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Período de Indisponibilidade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um minuto é considerado período de indisponibilidade se todas as tentativas contínuas para criar, atualizar ou ver os recursos do serviço durante esse minuto devolverem um Código de Erro ou não devolverem um Código de Êxito no prazo de dois minutos.</w:t>
      </w:r>
    </w:p>
    <w:p w14:paraId="17DB1D11" w14:textId="77777777" w:rsidR="00462263" w:rsidRDefault="00462263" w:rsidP="00462263">
      <w:pPr>
        <w:shd w:val="clear" w:color="auto" w:fill="FFFFFF"/>
        <w:spacing w:after="0" w:line="240" w:lineRule="auto"/>
        <w:textAlignment w:val="baseline"/>
        <w:rPr>
          <w:rFonts w:ascii="Calibri" w:eastAsia="Times New Roman" w:hAnsi="Calibri" w:cs="Calibri"/>
          <w:color w:val="000000"/>
          <w:sz w:val="18"/>
          <w:szCs w:val="18"/>
        </w:rPr>
      </w:pPr>
      <w:r w:rsidRPr="0004526F">
        <w:rPr>
          <w:rFonts w:ascii="Calibri" w:eastAsia="Times New Roman" w:hAnsi="Calibri" w:cs="Calibri"/>
          <w:color w:val="000000"/>
          <w:sz w:val="18"/>
          <w:szCs w:val="18"/>
        </w:rPr>
        <w:t xml:space="preserve">A </w:t>
      </w: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Percentagem de Período de 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para o Azure Operator Service Manager é calculada como o Máximo de Minutos Disponíveis menos o Período de Indisponibilidade, dividido pelo Máximo de Minutos Disponíveis num Período Aplicável. A Percentagem de Período de Disponibilidade é calculada por região e é representada pela seguinte fórmula:</w:t>
      </w:r>
    </w:p>
    <w:p w14:paraId="4BF6C6C7" w14:textId="77777777" w:rsidR="00462263" w:rsidRPr="00462263" w:rsidRDefault="00462263" w:rsidP="00462263">
      <w:pPr>
        <w:shd w:val="clear" w:color="auto" w:fill="FFFFFF"/>
        <w:spacing w:after="0" w:line="240" w:lineRule="auto"/>
        <w:textAlignment w:val="baseline"/>
        <w:rPr>
          <w:rFonts w:ascii="Calibri" w:eastAsia="Times New Roman" w:hAnsi="Calibri" w:cs="Calibri"/>
          <w:color w:val="000000"/>
          <w:sz w:val="12"/>
          <w:szCs w:val="12"/>
        </w:rPr>
      </w:pPr>
    </w:p>
    <w:p w14:paraId="5534A392" w14:textId="77777777" w:rsidR="00462263" w:rsidRPr="00462263" w:rsidRDefault="00462263" w:rsidP="00462263">
      <w:pPr>
        <w:shd w:val="clear" w:color="auto" w:fill="FFFFFF"/>
        <w:spacing w:after="0" w:line="240" w:lineRule="auto"/>
        <w:jc w:val="center"/>
        <w:rPr>
          <w:rFonts w:ascii="Cambria Math" w:eastAsia="Times New Roman" w:hAnsi="Cambria Math" w:cs="Calibri"/>
          <w:i/>
          <w:color w:val="000000"/>
          <w:sz w:val="18"/>
          <w:szCs w:val="18"/>
        </w:rPr>
      </w:pPr>
      <w:r w:rsidRPr="00462263">
        <w:rPr>
          <w:rFonts w:ascii="Cambria Math" w:eastAsia="Times New Roman" w:hAnsi="Cambria Math" w:cs="Calibri"/>
          <w:i/>
          <w:color w:val="000000"/>
          <w:sz w:val="18"/>
          <w:szCs w:val="18"/>
          <w:bdr w:val="none" w:sz="0" w:space="0" w:color="auto" w:frame="1"/>
        </w:rPr>
        <w:t>% de Período de Disponibilidade Mensal = (Máximo de Minutos Disponíveis−Tempo de Inatividade)/Máximo de Minutos Disponíveis x 100</w:t>
      </w:r>
    </w:p>
    <w:p w14:paraId="5F740BBA" w14:textId="77777777" w:rsidR="00462263" w:rsidRPr="00462263" w:rsidRDefault="00462263" w:rsidP="00462263">
      <w:pPr>
        <w:shd w:val="clear" w:color="auto" w:fill="FFFFFF"/>
        <w:spacing w:after="0" w:line="240" w:lineRule="auto"/>
        <w:textAlignment w:val="baseline"/>
        <w:rPr>
          <w:rFonts w:ascii="Calibri" w:eastAsia="Times New Roman" w:hAnsi="Calibri" w:cs="Calibri"/>
          <w:color w:val="000000"/>
          <w:sz w:val="12"/>
          <w:szCs w:val="12"/>
        </w:rPr>
      </w:pPr>
    </w:p>
    <w:p w14:paraId="01F2C9CC" w14:textId="77777777" w:rsidR="00462263"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C060D">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62263" w:rsidRPr="00CF77C2" w14:paraId="67B0A3B2"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A3447D0"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22B3D2F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462263" w:rsidRPr="00CF77C2" w14:paraId="0C3BACA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E84C152"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5F968F1"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62263" w:rsidRPr="00CF77C2" w14:paraId="77C3C5DC"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5B915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E33DBA"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C8A7917" w14:textId="77777777" w:rsidR="00462263" w:rsidRPr="00462263" w:rsidRDefault="00462263" w:rsidP="00462263">
      <w:pPr>
        <w:spacing w:after="0" w:line="240" w:lineRule="auto"/>
        <w:textAlignment w:val="baseline"/>
        <w:rPr>
          <w:rFonts w:ascii="Calibri" w:eastAsia="Times New Roman" w:hAnsi="Calibri" w:cs="Calibri"/>
          <w:sz w:val="12"/>
          <w:szCs w:val="12"/>
        </w:rPr>
      </w:pPr>
    </w:p>
    <w:p w14:paraId="57543E0C"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de Nível de Serviço</w:t>
      </w:r>
      <w:r w:rsidRPr="004C060D">
        <w:rPr>
          <w:rFonts w:ascii="Calibri" w:eastAsia="Calibri" w:hAnsi="Calibri" w:cs="Arial"/>
          <w:b/>
          <w:bCs/>
          <w:color w:val="00188F"/>
          <w:sz w:val="18"/>
          <w:bdr w:val="none" w:sz="0" w:space="0" w:color="auto" w:frame="1"/>
        </w:rPr>
        <w:t>:</w:t>
      </w:r>
    </w:p>
    <w:p w14:paraId="55DD3244"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que resultam do seguinte </w:t>
      </w:r>
    </w:p>
    <w:p w14:paraId="21DE47BA" w14:textId="77777777" w:rsidR="00462263" w:rsidRPr="00FE394E"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6772690F" w14:textId="77777777" w:rsidR="00462263"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As tentativas por parte do Cliente para executar operações que excedam as quotas indicadas ou resultantes da limitação por parte da Microsoft de comportamento abusivo suspeito.</w:t>
      </w:r>
    </w:p>
    <w:p w14:paraId="4C6772F5" w14:textId="77777777" w:rsidR="00AD6CDF" w:rsidRPr="00CF77C2" w:rsidRDefault="00AD6CDF" w:rsidP="00AD6C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Índice" w:history="1">
        <w:r>
          <w:rPr>
            <w:rStyle w:val="Hyperlink"/>
            <w:rFonts w:ascii="Calibri" w:hAnsi="Calibri" w:cs="Calibri"/>
            <w:sz w:val="16"/>
            <w:szCs w:val="16"/>
          </w:rPr>
          <w:t>Índice</w:t>
        </w:r>
      </w:hyperlink>
      <w:r>
        <w:rPr>
          <w:rFonts w:ascii="Calibri" w:hAnsi="Calibri" w:cs="Calibri"/>
          <w:sz w:val="16"/>
          <w:szCs w:val="16"/>
        </w:rPr>
        <w:t xml:space="preserve"> / </w:t>
      </w:r>
      <w:hyperlink w:anchor="Definições" w:tooltip="Definições" w:history="1">
        <w:r>
          <w:rPr>
            <w:rStyle w:val="Hyperlink"/>
            <w:rFonts w:ascii="Calibri" w:hAnsi="Calibri" w:cs="Calibri"/>
            <w:sz w:val="16"/>
            <w:szCs w:val="16"/>
          </w:rPr>
          <w:t>Definições</w:t>
        </w:r>
      </w:hyperlink>
    </w:p>
    <w:p w14:paraId="4F4794A3" w14:textId="6D046716" w:rsidR="000146AE" w:rsidRPr="000146AE" w:rsidRDefault="000146AE" w:rsidP="00F01ED6">
      <w:pPr>
        <w:pStyle w:val="ProductList-Offering2Heading"/>
        <w:keepNext/>
        <w:tabs>
          <w:tab w:val="clear" w:pos="360"/>
          <w:tab w:val="clear" w:pos="720"/>
          <w:tab w:val="clear" w:pos="1080"/>
        </w:tabs>
        <w:outlineLvl w:val="2"/>
      </w:pPr>
      <w:bookmarkStart w:id="346" w:name="_Toc182409706"/>
      <w:r>
        <w:t>Estação Terrestre do Azure Orbital</w:t>
      </w:r>
      <w:bookmarkEnd w:id="346"/>
    </w:p>
    <w:p w14:paraId="081E007E" w14:textId="77777777" w:rsidR="000146AE" w:rsidRPr="000146AE" w:rsidRDefault="000146AE" w:rsidP="00F01ED6">
      <w:pPr>
        <w:pStyle w:val="ProductList-Body"/>
        <w:keepNext/>
        <w:rPr>
          <w:b/>
          <w:bCs/>
          <w:color w:val="00188F"/>
        </w:rPr>
      </w:pPr>
      <w:r>
        <w:rPr>
          <w:b/>
          <w:bCs/>
          <w:color w:val="00188F"/>
        </w:rPr>
        <w:t>Definições Adicionais</w:t>
      </w:r>
    </w:p>
    <w:p w14:paraId="1AABB734" w14:textId="77777777" w:rsidR="004A561E" w:rsidRPr="00A02980" w:rsidRDefault="004A561E" w:rsidP="004A561E">
      <w:pPr>
        <w:tabs>
          <w:tab w:val="left" w:pos="360"/>
          <w:tab w:val="left" w:pos="720"/>
          <w:tab w:val="left" w:pos="1080"/>
        </w:tabs>
        <w:spacing w:after="0" w:line="240" w:lineRule="auto"/>
        <w:rPr>
          <w:rFonts w:ascii="Calibri" w:eastAsia="Calibri" w:hAnsi="Calibri" w:cs="Calibri"/>
          <w:sz w:val="18"/>
          <w:szCs w:val="18"/>
        </w:rPr>
      </w:pPr>
      <w:r w:rsidRPr="00A02980">
        <w:rPr>
          <w:rFonts w:ascii="Calibri" w:hAnsi="Calibri" w:cs="Calibri"/>
          <w:sz w:val="18"/>
          <w:szCs w:val="18"/>
        </w:rPr>
        <w:t xml:space="preserve">O </w:t>
      </w:r>
      <w:r w:rsidRPr="00A02980">
        <w:rPr>
          <w:rFonts w:ascii="Calibri" w:eastAsia="Calibri" w:hAnsi="Calibri" w:cs="Calibri"/>
          <w:sz w:val="18"/>
          <w:szCs w:val="18"/>
        </w:rPr>
        <w:t>“</w:t>
      </w:r>
      <w:r w:rsidRPr="00A02980">
        <w:rPr>
          <w:rFonts w:ascii="Calibri" w:eastAsia="Calibri" w:hAnsi="Calibri" w:cs="Calibri"/>
          <w:b/>
          <w:bCs/>
          <w:color w:val="00188F"/>
          <w:sz w:val="18"/>
          <w:szCs w:val="18"/>
        </w:rPr>
        <w:t>Serviço Estação Terrestre do Azure Orbital</w:t>
      </w:r>
      <w:r w:rsidRPr="00A02980">
        <w:rPr>
          <w:rFonts w:ascii="Calibri" w:eastAsia="Calibri" w:hAnsi="Calibri" w:cs="Calibri"/>
          <w:sz w:val="18"/>
          <w:szCs w:val="18"/>
        </w:rPr>
        <w:t>” é um serviço de estação terrestre totalmente gerido que oferece conectividade de baixa latência a partir de satélites do cliente em órbita com a cloud do Microsoft Azure. Para efeitos do presente SLA, o serviço inclui a conectividade apenas às estações terrestres que sejam propriedade e operadas pela Microsoft, e não as estações terrestres que sejam propriedade ou operadas por fornecedores de estações terrestres de terceiros que os clientes configuram para trabalhar com o Serviço Estação Terrestre do Azure Orbital.</w:t>
      </w:r>
    </w:p>
    <w:p w14:paraId="402ACEE9"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Agendado</w:t>
      </w:r>
      <w:r>
        <w:rPr>
          <w:rFonts w:ascii="Calibri" w:eastAsia="Calibri" w:hAnsi="Calibri" w:cs="Calibri"/>
          <w:sz w:val="18"/>
          <w:szCs w:val="18"/>
        </w:rPr>
        <w:t>” é o momento em que uma ligação entre uma Estação Terrestre do Azure Orbital detida e operada pela Microsoft, e o satélite do cliente foi solicitada pelo cliente (através do Portal do Azure ou da API), e confirmada como agendada pela Microsoft (ou sejam o estado do contacto pedido mostra “Agendado” no Portal do Azure ou na interface da API).</w:t>
      </w:r>
    </w:p>
    <w:p w14:paraId="3F6BC26B"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Período de Indisponibilidade</w:t>
      </w:r>
      <w:r>
        <w:rPr>
          <w:rFonts w:ascii="Calibri" w:eastAsia="Calibri" w:hAnsi="Calibri" w:cs="Calibri"/>
          <w:sz w:val="18"/>
          <w:szCs w:val="18"/>
        </w:rPr>
        <w:t>” designa o tempo durante um Contacto Agendado em que o cliente não consegue transmitir dados de ponto a ponto para ou a partir dos satélites do cliente para o ponto final da rede virtual do cliente em Azure, em qualquer dos casos devido a uma falha especificamente atribuível ao Serviço Estação Terrestre do Azure Orbital, ou ao cancelamento de um Contacto Agendado confirmado anteriormente (conforme indicado pelo campo ContactsStatus que muda de “agendado” para “com falhas” ou “providerCancelled”).</w:t>
      </w:r>
    </w:p>
    <w:p w14:paraId="240E5E6F"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rPr>
      </w:pPr>
    </w:p>
    <w:p w14:paraId="5649A0D0"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Período de Indisponibilidade não inclui qualquer tempo durante um Contacto Agendado quando o cliente não consegue transmitir dados ponto a ponto devido a (i) quaisquer circunstâncias com falhas ao abrigo das Exceções de Nível de Serviço abaixo; ou (ii) quaisquer circunstâncias que impeçam o Serviço Estação Terrestre do Azure Orbital de confirmar um contacto pedido como um Contacto Agendado. Para efeitos do Serviço Estação Terrestre do Azure Orbital, Período de Indisponibilidade não inclui o Período de Indisponibilidade Agendado atribuível à manutenção ou a reparações dos locais do Serviço Estação Terrestre do Azure Orbital.</w:t>
      </w:r>
    </w:p>
    <w:p w14:paraId="61AB3941"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rPr>
      </w:pPr>
    </w:p>
    <w:p w14:paraId="00C06FD3"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Exceções de Nível de Serviço</w:t>
      </w:r>
      <w:r w:rsidRPr="007A41A5">
        <w:rPr>
          <w:rFonts w:ascii="Calibri" w:eastAsia="Calibri" w:hAnsi="Calibri" w:cs="Calibri"/>
          <w:b/>
          <w:bCs/>
          <w:sz w:val="18"/>
          <w:szCs w:val="18"/>
        </w:rPr>
        <w:t>:</w:t>
      </w:r>
    </w:p>
    <w:p w14:paraId="718E92C5" w14:textId="77777777" w:rsidR="004A561E" w:rsidRPr="008B7B5F" w:rsidRDefault="004A561E" w:rsidP="004A561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que resultam do seguinte</w:t>
      </w:r>
    </w:p>
    <w:p w14:paraId="05A1745A" w14:textId="77777777" w:rsidR="004A561E" w:rsidRPr="008B7B5F" w:rsidRDefault="004A561E" w:rsidP="004A561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de exploração do veículo espacial do cliente por um órgão regulador ou agência governamental.</w:t>
      </w:r>
    </w:p>
    <w:p w14:paraId="1DF94530" w14:textId="77777777" w:rsidR="004A561E" w:rsidRPr="008B7B5F"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utilização dos serviços, hardware ou software não fornecido pela Microsoft, incluindo, entre outros, os problemas resultantes de uma largura de banda inadequada, ou relacionados com software ou serviços de terceiros.</w:t>
      </w:r>
    </w:p>
    <w:p w14:paraId="7EE00785" w14:textId="77777777" w:rsidR="004A561E" w:rsidRPr="00322290"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incumprimento por parte do Cliente de quaisquer configurações obrigatórias, a utilização das plataformas suportadas, o seguimento de quaisquer políticas de utilização aceitável ou a utilização do Serviço Estação Terrestre do Azure Orbital de uma forma inconsistente com as suas funções e funcionalidades (por exemplo, tentativas de execução de operações que não sejam suportadas expressamente) ou inconsistente com a nossa documentação ou instruções publicadas.</w:t>
      </w:r>
    </w:p>
    <w:p w14:paraId="19F8C18A" w14:textId="4793B65D" w:rsidR="000146AE" w:rsidRPr="000146AE" w:rsidRDefault="000146AE" w:rsidP="00F01ED6">
      <w:pPr>
        <w:pStyle w:val="ProductList-Body"/>
        <w:spacing w:before="120"/>
        <w:rPr>
          <w:b/>
          <w:bCs/>
          <w:color w:val="00188F"/>
        </w:rPr>
      </w:pPr>
      <w:r>
        <w:rPr>
          <w:b/>
          <w:bCs/>
          <w:color w:val="00188F"/>
        </w:rPr>
        <w:t>Níveis de Serviço e Cálculo da Percentagem de Contactos Com Êxito</w:t>
      </w:r>
    </w:p>
    <w:p w14:paraId="77258D37" w14:textId="1E603468" w:rsidR="000146AE" w:rsidRDefault="000146AE" w:rsidP="00F01ED6">
      <w:pPr>
        <w:pStyle w:val="ProductList-Body"/>
      </w:pPr>
      <w:r>
        <w:t xml:space="preserve">A </w:t>
      </w:r>
      <w:r w:rsidR="00380305">
        <w:t>“</w:t>
      </w:r>
      <w:r>
        <w:rPr>
          <w:b/>
          <w:bCs/>
          <w:color w:val="00188F"/>
        </w:rPr>
        <w:t>Percentagem de Contactos Com Êxito</w:t>
      </w:r>
      <w:r w:rsidR="00380305">
        <w:t>”</w:t>
      </w:r>
      <w:r>
        <w:t xml:space="preserve"> é calculada como o total de minutos do Contacto Agendado menos os minutos de Período de Indisponibilidade, dividido pelo total de minutos do Contacto Agendado. É representado pela seguinte fórmula:</w:t>
      </w:r>
    </w:p>
    <w:p w14:paraId="3E16C3DD" w14:textId="77777777" w:rsidR="00A860B2" w:rsidRPr="00EF7CF9" w:rsidRDefault="00A860B2" w:rsidP="00F01ED6">
      <w:pPr>
        <w:pStyle w:val="ProductList-Body"/>
      </w:pPr>
    </w:p>
    <w:p w14:paraId="0A64C922" w14:textId="091AD38C" w:rsidR="00A860B2"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do Contacto Agendado-Minutos de Período de Indisponibilidade</m:t>
              </m:r>
            </m:num>
            <m:den>
              <m:r>
                <m:rPr>
                  <m:nor/>
                </m:rPr>
                <w:rPr>
                  <w:rFonts w:ascii="Cambria Math" w:hAnsi="Cambria Math" w:cs="Tahoma"/>
                  <w:i/>
                  <w:sz w:val="18"/>
                  <w:szCs w:val="18"/>
                </w:rPr>
                <m:t>Total de Minutos do Contacto Agendado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4F57492B" w:rsidR="000146AE" w:rsidRPr="00482531" w:rsidRDefault="000146AE" w:rsidP="004A561E">
      <w:pPr>
        <w:pStyle w:val="ProductList-Body"/>
        <w:keepNext/>
        <w:keepLines/>
        <w:widowControl w:val="0"/>
        <w:rPr>
          <w:b/>
          <w:bCs/>
          <w:color w:val="00188F"/>
        </w:rPr>
      </w:pPr>
      <w:r>
        <w:rPr>
          <w:b/>
          <w:bCs/>
          <w:color w:val="00188F"/>
        </w:rPr>
        <w:t>Os seguintes Níveis de Serviço e Créditos de Serviço são aplicáveis ao Serviço Estação Terrestre do Azure Orbital para os Honorários dos Serviços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F01ED6">
            <w:pPr>
              <w:pStyle w:val="ProductList-OfferingBody"/>
              <w:jc w:val="center"/>
              <w:rPr>
                <w:color w:val="FFFFFF" w:themeColor="background1"/>
              </w:rPr>
            </w:pPr>
            <w:r>
              <w:rPr>
                <w:color w:val="FFFFFF" w:themeColor="background1"/>
              </w:rPr>
              <w:t>Percentagem de Contactos Com Êxito</w:t>
            </w:r>
          </w:p>
        </w:tc>
        <w:tc>
          <w:tcPr>
            <w:tcW w:w="5400" w:type="dxa"/>
            <w:shd w:val="clear" w:color="auto" w:fill="0072C6"/>
          </w:tcPr>
          <w:p w14:paraId="4B717705" w14:textId="77777777" w:rsidR="00482531" w:rsidRPr="00EF7CF9" w:rsidRDefault="00482531" w:rsidP="00F01ED6">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F01ED6">
            <w:pPr>
              <w:pStyle w:val="ProductList-OfferingBody"/>
              <w:jc w:val="center"/>
            </w:pPr>
            <w:r>
              <w:t>&lt; 99,9%</w:t>
            </w:r>
          </w:p>
        </w:tc>
        <w:tc>
          <w:tcPr>
            <w:tcW w:w="5400" w:type="dxa"/>
          </w:tcPr>
          <w:p w14:paraId="29BAF580" w14:textId="77777777" w:rsidR="00482531" w:rsidRPr="00EF7CF9" w:rsidRDefault="00482531" w:rsidP="00F01ED6">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F01ED6">
            <w:pPr>
              <w:pStyle w:val="ProductList-OfferingBody"/>
              <w:jc w:val="center"/>
            </w:pPr>
            <w:r>
              <w:t>&lt; 98%</w:t>
            </w:r>
          </w:p>
        </w:tc>
        <w:tc>
          <w:tcPr>
            <w:tcW w:w="5400" w:type="dxa"/>
          </w:tcPr>
          <w:p w14:paraId="5BBB0BBA" w14:textId="77777777" w:rsidR="00482531" w:rsidRPr="00EF7CF9" w:rsidRDefault="00482531" w:rsidP="00F01ED6">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F01ED6">
            <w:pPr>
              <w:pStyle w:val="ProductList-OfferingBody"/>
              <w:jc w:val="center"/>
            </w:pPr>
            <w:r>
              <w:t>&lt; 95%</w:t>
            </w:r>
          </w:p>
        </w:tc>
        <w:tc>
          <w:tcPr>
            <w:tcW w:w="5400" w:type="dxa"/>
          </w:tcPr>
          <w:p w14:paraId="1B983005" w14:textId="77777777" w:rsidR="00482531" w:rsidRPr="00EF7CF9" w:rsidRDefault="00482531" w:rsidP="00F01ED6">
            <w:pPr>
              <w:pStyle w:val="ProductList-OfferingBody"/>
              <w:jc w:val="center"/>
            </w:pPr>
            <w:r>
              <w:t>100%</w:t>
            </w:r>
          </w:p>
        </w:tc>
      </w:tr>
    </w:tbl>
    <w:p w14:paraId="07D58BA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692E6D5" w14:textId="19F6FC2F" w:rsidR="00081B1C" w:rsidRPr="000146AE" w:rsidRDefault="00081B1C" w:rsidP="00F01ED6">
      <w:pPr>
        <w:pStyle w:val="ProductList-Offering2Heading"/>
        <w:keepNext/>
        <w:tabs>
          <w:tab w:val="clear" w:pos="360"/>
          <w:tab w:val="clear" w:pos="720"/>
          <w:tab w:val="clear" w:pos="1080"/>
        </w:tabs>
        <w:outlineLvl w:val="2"/>
      </w:pPr>
      <w:bookmarkStart w:id="347" w:name="_Toc182409707"/>
      <w:r>
        <w:t>Azure Private 5G Core</w:t>
      </w:r>
      <w:bookmarkEnd w:id="347"/>
    </w:p>
    <w:p w14:paraId="74734AFC" w14:textId="77777777" w:rsidR="004F217B" w:rsidRPr="00EF7CF9" w:rsidRDefault="004F217B" w:rsidP="00F01ED6">
      <w:pPr>
        <w:pStyle w:val="ProductList-Body"/>
        <w:keepNext/>
      </w:pPr>
      <w:r>
        <w:rPr>
          <w:b/>
          <w:color w:val="00188F"/>
        </w:rPr>
        <w:t>Definições Adicionais</w:t>
      </w:r>
      <w:r w:rsidRPr="00473DD3">
        <w:rPr>
          <w:b/>
          <w:color w:val="00188F"/>
        </w:rPr>
        <w:t>:</w:t>
      </w:r>
    </w:p>
    <w:p w14:paraId="061097D1" w14:textId="21E29853"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Honorários dos Serviços Aplicáveis</w:t>
      </w:r>
      <w:r w:rsidRPr="00CB7596">
        <w:rPr>
          <w:sz w:val="18"/>
        </w:rPr>
        <w:t>”</w:t>
      </w:r>
      <w:r w:rsidR="004F217B">
        <w:rPr>
          <w:rFonts w:eastAsia="Times New Roman" w:cstheme="minorHAnsi"/>
          <w:color w:val="000000" w:themeColor="text1"/>
          <w:sz w:val="18"/>
          <w:szCs w:val="18"/>
        </w:rPr>
        <w:t xml:space="preserve"> designa o total dos honorários efetivamente pagos pelo Cliente por um Serviço que é aplicado ao Período Aplicável em que um Crédito de Serviço é devido.</w:t>
      </w:r>
    </w:p>
    <w:p w14:paraId="459CE08D" w14:textId="0CAA01BB"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Operações do Plano de Controlo</w:t>
      </w:r>
      <w:r w:rsidRPr="00CB7596">
        <w:rPr>
          <w:sz w:val="18"/>
        </w:rPr>
        <w:t>”</w:t>
      </w:r>
      <w:r w:rsidR="004F217B">
        <w:rPr>
          <w:rFonts w:eastAsia="Times New Roman"/>
          <w:color w:val="000000" w:themeColor="text1"/>
          <w:sz w:val="18"/>
          <w:szCs w:val="18"/>
        </w:rPr>
        <w:t xml:space="preserve"> designa quaisquer mensagens de sinalização 3GPP.</w:t>
      </w:r>
    </w:p>
    <w:p w14:paraId="2E5F60D5" w14:textId="5C91042A"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Período de Indisponibilidade</w:t>
      </w:r>
      <w:r w:rsidRPr="00CB7596">
        <w:rPr>
          <w:sz w:val="18"/>
        </w:rPr>
        <w:t>”</w:t>
      </w:r>
      <w:r w:rsidR="004F217B">
        <w:rPr>
          <w:rFonts w:eastAsia="Times New Roman"/>
          <w:color w:val="000000" w:themeColor="text1"/>
          <w:sz w:val="18"/>
          <w:szCs w:val="18"/>
        </w:rPr>
        <w:t xml:space="preserve"> é definido para cada Serviço nos Termos Específicos dos Serviços abaixo.</w:t>
      </w:r>
    </w:p>
    <w:p w14:paraId="1C129C87" w14:textId="69036E8B"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Serviço online</w:t>
      </w:r>
      <w:r w:rsidRPr="00CB7596">
        <w:rPr>
          <w:sz w:val="18"/>
        </w:rPr>
        <w:t>”</w:t>
      </w:r>
      <w:r w:rsidR="004F217B">
        <w:rPr>
          <w:rFonts w:eastAsia="Times New Roman"/>
          <w:color w:val="000000" w:themeColor="text1"/>
          <w:sz w:val="18"/>
          <w:szCs w:val="18"/>
        </w:rPr>
        <w:t xml:space="preserve"> designa a interface Web, fornecida pela Microsoft, através da qual os clientes podem gerir o Serviço.</w:t>
      </w:r>
    </w:p>
    <w:p w14:paraId="110BB605" w14:textId="006C7C16"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Nível de serviço</w:t>
      </w:r>
      <w:r w:rsidRPr="00CB7596">
        <w:rPr>
          <w:sz w:val="18"/>
        </w:rPr>
        <w:t>”</w:t>
      </w:r>
      <w:r w:rsidR="004F217B">
        <w:rPr>
          <w:rFonts w:eastAsia="Times New Roman" w:cstheme="minorHAnsi"/>
          <w:color w:val="000000" w:themeColor="text1"/>
          <w:sz w:val="18"/>
          <w:szCs w:val="18"/>
        </w:rPr>
        <w:t xml:space="preserve"> designa as métricas de desempenho estabelecidas neste SLA que a Microsoft aceita cumprir na prestação dos Serviços.</w:t>
      </w:r>
    </w:p>
    <w:p w14:paraId="0952A288" w14:textId="46AD351A" w:rsidR="004F217B" w:rsidRPr="0033504D" w:rsidRDefault="00380305" w:rsidP="00F01ED6">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CB7596">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Máximo de Minutos Disponíveis</w:t>
      </w:r>
      <w:r w:rsidRPr="00CB7596">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designa o total de minutos acumulados durante um Período Aplicável durante o qual um determinado Azure Private 5G Core tenha sido implementado numa subscrição do Microsoft Azure.</w:t>
      </w:r>
      <w:r w:rsidR="000514F4">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Para o Serviço Edge, não são contados os minutos em que a</w:t>
      </w:r>
      <w:r w:rsidR="005E5DC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indisponibilidade se deva às seguintes condições:</w:t>
      </w:r>
    </w:p>
    <w:p w14:paraId="4231DE2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plataforma física ou o sistema operativo estiver indisponível.</w:t>
      </w:r>
    </w:p>
    <w:p w14:paraId="0E25229E"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uma janela de atualização de software planeada.</w:t>
      </w:r>
    </w:p>
    <w:p w14:paraId="41ADB8B4"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está a funcionar acima da respetiva carga nominal, conforme definido pela documentação do produto.</w:t>
      </w:r>
    </w:p>
    <w:p w14:paraId="409398C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se deve a um problema na rede fora da plataforma física em que o serviço Edge é executado.</w:t>
      </w:r>
    </w:p>
    <w:p w14:paraId="7959A7EB" w14:textId="77777777" w:rsidR="004F217B" w:rsidRPr="004804CC" w:rsidRDefault="004F217B" w:rsidP="00F01ED6">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a configuração do Azure Private 5G Core ou do sistema operativo subjacente impede o sistema de processar os pedidos com êxito.</w:t>
      </w:r>
    </w:p>
    <w:p w14:paraId="7F8BCC17" w14:textId="5613FD47" w:rsidR="004F217B" w:rsidRDefault="004F217B"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F2068A">
        <w:rPr>
          <w:rFonts w:asciiTheme="minorHAnsi" w:hAnsiTheme="minorHAnsi" w:cstheme="minorHAnsi"/>
          <w:sz w:val="18"/>
          <w:szCs w:val="18"/>
        </w:rPr>
        <w:t xml:space="preserve">A </w:t>
      </w:r>
      <w:r w:rsidR="00380305" w:rsidRPr="00CB7596">
        <w:rPr>
          <w:rFonts w:asciiTheme="minorHAnsi" w:eastAsiaTheme="minorHAnsi" w:hAnsiTheme="minorHAnsi" w:cstheme="minorBidi"/>
          <w:sz w:val="18"/>
          <w:szCs w:val="22"/>
        </w:rPr>
        <w:t>“</w:t>
      </w:r>
      <w:r w:rsidRPr="00F2068A">
        <w:rPr>
          <w:rFonts w:asciiTheme="minorHAnsi" w:eastAsiaTheme="minorHAnsi" w:hAnsiTheme="minorHAnsi" w:cstheme="minorHAnsi"/>
          <w:b/>
          <w:color w:val="00188F"/>
          <w:sz w:val="18"/>
          <w:szCs w:val="18"/>
        </w:rPr>
        <w:t>Percentagem de Período de Disponibilidade</w:t>
      </w:r>
      <w:r w:rsidR="00380305" w:rsidRPr="00CB7596">
        <w:rPr>
          <w:rFonts w:asciiTheme="minorHAnsi" w:eastAsiaTheme="minorHAnsi" w:hAnsiTheme="minorHAnsi" w:cstheme="minorBidi"/>
          <w:sz w:val="18"/>
          <w:szCs w:val="22"/>
        </w:rPr>
        <w:t>”</w:t>
      </w:r>
      <w:r w:rsidRPr="00F2068A">
        <w:rPr>
          <w:rFonts w:asciiTheme="minorHAnsi" w:hAnsiTheme="minorHAnsi" w:cstheme="minorHAnsi"/>
          <w:color w:val="000000" w:themeColor="text1"/>
          <w:sz w:val="18"/>
          <w:szCs w:val="18"/>
        </w:rPr>
        <w:t xml:space="preserve"> para um determinado Azure Private 5G Core é calculado como o Máximo de Minutos Disponíveis, menos o Período de Indisponibilidade, dividido pelo Máximo de Minutos Disponíveis num Período Aplicável para o Azure Private 5G Core. A</w:t>
      </w:r>
      <w:r w:rsidR="005E5DC2">
        <w:rPr>
          <w:rFonts w:asciiTheme="minorHAnsi" w:hAnsiTheme="minorHAnsi" w:cstheme="minorHAnsi"/>
          <w:color w:val="000000" w:themeColor="text1"/>
          <w:sz w:val="18"/>
          <w:szCs w:val="18"/>
        </w:rPr>
        <w:t> </w:t>
      </w:r>
      <w:r w:rsidRPr="00F2068A">
        <w:rPr>
          <w:rFonts w:asciiTheme="minorHAnsi" w:hAnsiTheme="minorHAnsi" w:cstheme="minorHAnsi"/>
          <w:color w:val="000000" w:themeColor="text1"/>
          <w:sz w:val="18"/>
          <w:szCs w:val="18"/>
        </w:rPr>
        <w:t>Percentagem de Período de Disponibilidade é representada pela seguinte fórmula:</w:t>
      </w:r>
    </w:p>
    <w:p w14:paraId="092C2CBC" w14:textId="77777777" w:rsidR="005E5DC2" w:rsidRPr="00AD6CDF" w:rsidRDefault="005E5DC2"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2"/>
          <w:szCs w:val="12"/>
        </w:rPr>
      </w:pPr>
    </w:p>
    <w:p w14:paraId="711BC209" w14:textId="6A28CEE6" w:rsidR="004F217B" w:rsidRPr="00EF7CF9" w:rsidRDefault="00F2068A" w:rsidP="005E5DC2">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0EFCD67" w14:textId="77777777" w:rsidR="004F217B" w:rsidRDefault="004F217B"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O serviço tem dois componentes, o serviço Edge e o serviço online, com as seguintes descrições do que constitui um período de disponibilidade para cada um destes componentes. </w:t>
      </w:r>
    </w:p>
    <w:p w14:paraId="2F1CC308" w14:textId="77777777" w:rsidR="005E5DC2" w:rsidRPr="00AD6CDF" w:rsidRDefault="005E5DC2"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2"/>
          <w:szCs w:val="12"/>
        </w:rPr>
      </w:pPr>
    </w:p>
    <w:p w14:paraId="31472A7A" w14:textId="77777777" w:rsidR="004F217B" w:rsidRPr="00464F82" w:rsidRDefault="004F217B" w:rsidP="00F01ED6">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Serviço Edge:</w:t>
      </w:r>
      <w:r>
        <w:rPr>
          <w:rFonts w:asciiTheme="minorHAnsi" w:hAnsiTheme="minorHAnsi" w:cstheme="minorBidi"/>
          <w:color w:val="000000" w:themeColor="text1"/>
          <w:sz w:val="18"/>
          <w:szCs w:val="18"/>
        </w:rPr>
        <w:t xml:space="preserve"> Um minuto é considerado como período de indisponibilidade se se verificar qualquer uma das seguintes situações:</w:t>
      </w:r>
    </w:p>
    <w:p w14:paraId="12355853"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 ou não processa todas as Operações do Plano de Controlo durante o minuto.</w:t>
      </w:r>
    </w:p>
    <w:p w14:paraId="238A1F00"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São reencaminhados menos de 99,9% dos pacotes nas sessões de PDU totalmente estabelecidas.</w:t>
      </w:r>
    </w:p>
    <w:p w14:paraId="3BD16579" w14:textId="77777777" w:rsidR="005E5DC2" w:rsidRPr="00AD6CDF" w:rsidRDefault="005E5DC2" w:rsidP="005E5DC2">
      <w:pPr>
        <w:spacing w:after="0" w:line="240" w:lineRule="auto"/>
        <w:rPr>
          <w:b/>
          <w:color w:val="00188F"/>
          <w:sz w:val="12"/>
          <w:szCs w:val="12"/>
        </w:rPr>
      </w:pPr>
    </w:p>
    <w:p w14:paraId="5829B85D" w14:textId="466AE46D" w:rsidR="004F217B" w:rsidRPr="00CF0266" w:rsidRDefault="004F217B" w:rsidP="00AD6CDF">
      <w:pPr>
        <w:spacing w:after="120" w:line="240" w:lineRule="auto"/>
        <w:rPr>
          <w:rFonts w:ascii="Segoe UI" w:hAnsi="Segoe UI" w:cs="Segoe UI"/>
          <w:color w:val="000000" w:themeColor="text1"/>
        </w:rPr>
      </w:pPr>
      <w:r>
        <w:rPr>
          <w:b/>
          <w:color w:val="00188F"/>
          <w:sz w:val="18"/>
        </w:rPr>
        <w:t>Serviço online:</w:t>
      </w:r>
      <w:r>
        <w:rPr>
          <w:color w:val="000000" w:themeColor="text1"/>
          <w:sz w:val="18"/>
          <w:szCs w:val="18"/>
        </w:rPr>
        <w:t xml:space="preserve"> </w:t>
      </w:r>
      <w:r>
        <w:rPr>
          <w:sz w:val="18"/>
          <w:szCs w:val="18"/>
        </w:rPr>
        <w:t>um minuto é considerado período de indisponibilidade se todas as tentativas contínuas para criar, atualizar ou ver os recursos do</w:t>
      </w:r>
      <w:r w:rsidR="00D02D40">
        <w:rPr>
          <w:sz w:val="18"/>
          <w:szCs w:val="18"/>
        </w:rPr>
        <w:t> </w:t>
      </w:r>
      <w:r>
        <w:rPr>
          <w:sz w:val="18"/>
          <w:szCs w:val="18"/>
        </w:rPr>
        <w:t>serviço durante esse minuto devolverem um Código de Erro ou não devolverem um Código de Êxito no prazo de dois minutos.</w:t>
      </w:r>
    </w:p>
    <w:p w14:paraId="5392A6DE" w14:textId="77777777" w:rsidR="004F217B" w:rsidRPr="00EF7CF9" w:rsidRDefault="004F217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4F217B" w:rsidRPr="00B44CF9" w14:paraId="240D51EC" w14:textId="77777777" w:rsidTr="00B50E44">
        <w:trPr>
          <w:trHeight w:val="257"/>
          <w:tblHeader/>
        </w:trPr>
        <w:tc>
          <w:tcPr>
            <w:tcW w:w="5490" w:type="dxa"/>
            <w:shd w:val="clear" w:color="auto" w:fill="0072C6"/>
          </w:tcPr>
          <w:p w14:paraId="3C187FBF" w14:textId="6E797A42" w:rsidR="004F217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10" w:type="dxa"/>
            <w:shd w:val="clear" w:color="auto" w:fill="0072C6"/>
          </w:tcPr>
          <w:p w14:paraId="12E987D9" w14:textId="77777777" w:rsidR="004F217B" w:rsidRPr="00EF7CF9" w:rsidRDefault="004F217B" w:rsidP="00F01ED6">
            <w:pPr>
              <w:pStyle w:val="ProductList-OfferingBody"/>
              <w:jc w:val="center"/>
              <w:rPr>
                <w:color w:val="FFFFFF" w:themeColor="background1"/>
              </w:rPr>
            </w:pPr>
            <w:r>
              <w:rPr>
                <w:color w:val="FFFFFF" w:themeColor="background1"/>
              </w:rPr>
              <w:t>Crédito de Serviço</w:t>
            </w:r>
          </w:p>
        </w:tc>
      </w:tr>
      <w:tr w:rsidR="004F217B" w:rsidRPr="00B44CF9" w14:paraId="18435BAF" w14:textId="77777777" w:rsidTr="00B50E44">
        <w:trPr>
          <w:trHeight w:val="274"/>
        </w:trPr>
        <w:tc>
          <w:tcPr>
            <w:tcW w:w="5490" w:type="dxa"/>
          </w:tcPr>
          <w:p w14:paraId="2E0C8627" w14:textId="77777777" w:rsidR="004F217B" w:rsidRPr="00EF7CF9" w:rsidRDefault="004F217B" w:rsidP="00F01ED6">
            <w:pPr>
              <w:pStyle w:val="ProductList-OfferingBody"/>
              <w:jc w:val="center"/>
            </w:pPr>
            <w:r>
              <w:t>&lt; 99,9%</w:t>
            </w:r>
          </w:p>
        </w:tc>
        <w:tc>
          <w:tcPr>
            <w:tcW w:w="5310" w:type="dxa"/>
          </w:tcPr>
          <w:p w14:paraId="31836195" w14:textId="77777777" w:rsidR="004F217B" w:rsidRPr="00EF7CF9" w:rsidRDefault="004F217B" w:rsidP="00F01ED6">
            <w:pPr>
              <w:pStyle w:val="ProductList-OfferingBody"/>
              <w:jc w:val="center"/>
            </w:pPr>
            <w:r>
              <w:t>10%</w:t>
            </w:r>
          </w:p>
        </w:tc>
      </w:tr>
      <w:tr w:rsidR="004F217B" w:rsidRPr="00B44CF9" w14:paraId="24A82928" w14:textId="77777777" w:rsidTr="00B50E44">
        <w:trPr>
          <w:trHeight w:val="257"/>
        </w:trPr>
        <w:tc>
          <w:tcPr>
            <w:tcW w:w="5490" w:type="dxa"/>
          </w:tcPr>
          <w:p w14:paraId="6B211825" w14:textId="77777777" w:rsidR="004F217B" w:rsidRPr="00EF7CF9" w:rsidRDefault="004F217B" w:rsidP="00F01ED6">
            <w:pPr>
              <w:pStyle w:val="ProductList-OfferingBody"/>
              <w:jc w:val="center"/>
            </w:pPr>
            <w:r>
              <w:t>&lt; 99%</w:t>
            </w:r>
          </w:p>
        </w:tc>
        <w:tc>
          <w:tcPr>
            <w:tcW w:w="5310" w:type="dxa"/>
          </w:tcPr>
          <w:p w14:paraId="6FA83FE5" w14:textId="77777777" w:rsidR="004F217B" w:rsidRPr="00EF7CF9" w:rsidRDefault="004F217B" w:rsidP="00F01ED6">
            <w:pPr>
              <w:pStyle w:val="ProductList-OfferingBody"/>
              <w:jc w:val="center"/>
            </w:pPr>
            <w:r>
              <w:t>25%</w:t>
            </w:r>
          </w:p>
        </w:tc>
      </w:tr>
    </w:tbl>
    <w:p w14:paraId="77C1EA20" w14:textId="77777777" w:rsidR="005E5DC2" w:rsidRPr="00AD6CDF" w:rsidRDefault="005E5DC2" w:rsidP="00F01ED6">
      <w:pPr>
        <w:pStyle w:val="ProductList-Body"/>
        <w:rPr>
          <w:b/>
          <w:color w:val="00188F"/>
          <w:sz w:val="12"/>
          <w:szCs w:val="12"/>
        </w:rPr>
      </w:pPr>
    </w:p>
    <w:p w14:paraId="3FB01572" w14:textId="6B2EA6CD" w:rsidR="004F217B" w:rsidRDefault="004F217B" w:rsidP="00F01ED6">
      <w:pPr>
        <w:pStyle w:val="ProductList-Body"/>
      </w:pPr>
      <w:r>
        <w:rPr>
          <w:b/>
          <w:color w:val="00188F"/>
        </w:rPr>
        <w:t>Exceções de Nível de Serviço</w:t>
      </w:r>
      <w:r w:rsidRPr="00473DD3">
        <w:rPr>
          <w:b/>
          <w:color w:val="00188F"/>
        </w:rPr>
        <w:t>:</w:t>
      </w:r>
      <w:r>
        <w:t xml:space="preserve"> </w:t>
      </w:r>
    </w:p>
    <w:p w14:paraId="6133950C" w14:textId="77777777" w:rsidR="004F217B" w:rsidRDefault="004F217B" w:rsidP="00F01ED6">
      <w:pPr>
        <w:pStyle w:val="ProductList-Body"/>
        <w:numPr>
          <w:ilvl w:val="0"/>
          <w:numId w:val="33"/>
        </w:numPr>
        <w:rPr>
          <w:sz w:val="16"/>
          <w:szCs w:val="16"/>
        </w:rPr>
      </w:pPr>
      <w:r>
        <w:t>G0 não está abrangido por este SLA.</w:t>
      </w:r>
      <w:r>
        <w:rPr>
          <w:sz w:val="16"/>
          <w:szCs w:val="16"/>
        </w:rPr>
        <w:t xml:space="preserve"> </w:t>
      </w:r>
    </w:p>
    <w:p w14:paraId="12E9D703" w14:textId="77777777" w:rsidR="004F217B" w:rsidRDefault="004F217B" w:rsidP="00F01ED6">
      <w:pPr>
        <w:pStyle w:val="ProductList-Body"/>
        <w:numPr>
          <w:ilvl w:val="0"/>
          <w:numId w:val="33"/>
        </w:numPr>
        <w:rPr>
          <w:szCs w:val="18"/>
        </w:rPr>
      </w:pPr>
      <w:r>
        <w:rPr>
          <w:szCs w:val="18"/>
        </w:rPr>
        <w:t>Problemas de desempenho ou disponibilidade que resultam do seguinte</w:t>
      </w:r>
    </w:p>
    <w:p w14:paraId="2FEA45EA" w14:textId="77777777" w:rsidR="004F217B" w:rsidRDefault="004F217B" w:rsidP="00F01ED6">
      <w:pPr>
        <w:pStyle w:val="ProductList-Body"/>
        <w:numPr>
          <w:ilvl w:val="1"/>
          <w:numId w:val="33"/>
        </w:numPr>
        <w:rPr>
          <w:szCs w:val="18"/>
        </w:rPr>
      </w:pPr>
      <w:r>
        <w:rPr>
          <w:szCs w:val="18"/>
        </w:rPr>
        <w:t>A utilização dos serviços, hardware ou software não fornecido pela Microsoft, incluindo, mas sem limitações, problemas resultantes de uma largura de banda inadequada ou relacionados com software ou serviços de terceiros;</w:t>
      </w:r>
    </w:p>
    <w:p w14:paraId="4988E1D9" w14:textId="12DBEB8A" w:rsidR="004F217B" w:rsidRDefault="004F217B" w:rsidP="00F01ED6">
      <w:pPr>
        <w:pStyle w:val="ProductList-Body"/>
        <w:numPr>
          <w:ilvl w:val="1"/>
          <w:numId w:val="33"/>
        </w:numPr>
        <w:rPr>
          <w:szCs w:val="18"/>
        </w:rPr>
      </w:pPr>
      <w:r>
        <w:rPr>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w:t>
      </w:r>
      <w:r w:rsidR="00B740AF">
        <w:rPr>
          <w:szCs w:val="18"/>
        </w:rPr>
        <w:t> </w:t>
      </w:r>
      <w:r>
        <w:rPr>
          <w:szCs w:val="18"/>
        </w:rPr>
        <w:t>instruções publicadas da Microsoft</w:t>
      </w:r>
    </w:p>
    <w:p w14:paraId="234D1262" w14:textId="77777777" w:rsidR="004F217B" w:rsidRDefault="004F217B" w:rsidP="00F01ED6">
      <w:pPr>
        <w:pStyle w:val="ProductList-Body"/>
        <w:numPr>
          <w:ilvl w:val="1"/>
          <w:numId w:val="33"/>
        </w:numPr>
        <w:rPr>
          <w:szCs w:val="18"/>
        </w:rPr>
      </w:pPr>
      <w:r>
        <w:rPr>
          <w:szCs w:val="18"/>
        </w:rPr>
        <w:t>As tentativas por parte do Cliente para executar operações que excedam as quotas indicadas ou resultantes da limitação por parte da Microsoft de comportamento abusivo suspeito</w:t>
      </w:r>
    </w:p>
    <w:p w14:paraId="5EC6F731" w14:textId="77777777" w:rsidR="004F217B" w:rsidRPr="00464F82" w:rsidRDefault="004F217B" w:rsidP="00F01ED6">
      <w:pPr>
        <w:pStyle w:val="ProductList-Body"/>
        <w:numPr>
          <w:ilvl w:val="0"/>
          <w:numId w:val="33"/>
        </w:numPr>
        <w:rPr>
          <w:szCs w:val="18"/>
        </w:rPr>
      </w:pPr>
      <w:r>
        <w:rPr>
          <w:szCs w:val="18"/>
        </w:rPr>
        <w:t>A janela de manutenção mensal que implica um período de indisponibilidade para aplicar patches ao servidor e à infraestrutura está excluída do cálculo do período de disponibilidade.</w:t>
      </w:r>
    </w:p>
    <w:p w14:paraId="0A0219A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95B2E84" w14:textId="29756DF1" w:rsidR="00995A2A" w:rsidRPr="00995A2A" w:rsidRDefault="00995A2A" w:rsidP="003E44BF">
      <w:pPr>
        <w:pStyle w:val="ProductList-Offering2Heading"/>
        <w:keepNext/>
        <w:tabs>
          <w:tab w:val="clear" w:pos="360"/>
          <w:tab w:val="clear" w:pos="720"/>
          <w:tab w:val="clear" w:pos="1080"/>
        </w:tabs>
        <w:outlineLvl w:val="2"/>
      </w:pPr>
      <w:bookmarkStart w:id="348" w:name="_Toc182409708"/>
      <w:r>
        <w:t>Azure Private Link</w:t>
      </w:r>
      <w:bookmarkEnd w:id="348"/>
    </w:p>
    <w:p w14:paraId="4A145F82" w14:textId="77777777" w:rsidR="00995A2A" w:rsidRPr="00995A2A" w:rsidRDefault="00995A2A" w:rsidP="00F01ED6">
      <w:pPr>
        <w:pStyle w:val="ProductList-Body"/>
        <w:rPr>
          <w:b/>
          <w:bCs/>
          <w:color w:val="00188F"/>
        </w:rPr>
      </w:pPr>
      <w:r>
        <w:rPr>
          <w:b/>
          <w:bCs/>
          <w:color w:val="00188F"/>
        </w:rPr>
        <w:t>Definições Adicionais</w:t>
      </w:r>
    </w:p>
    <w:p w14:paraId="0AA0EB1A" w14:textId="3C88C33E" w:rsidR="00995A2A" w:rsidRDefault="00995A2A" w:rsidP="00F01ED6">
      <w:pPr>
        <w:pStyle w:val="ProductList-Body"/>
      </w:pPr>
      <w:r>
        <w:t xml:space="preserve">O </w:t>
      </w:r>
      <w:r w:rsidR="00380305">
        <w:t>“</w:t>
      </w:r>
      <w:r>
        <w:rPr>
          <w:b/>
          <w:bCs/>
          <w:color w:val="00188F"/>
        </w:rPr>
        <w:t>Azure Private Link Service</w:t>
      </w:r>
      <w:r w:rsidR="00380305">
        <w:t>”</w:t>
      </w:r>
      <w:r>
        <w:t xml:space="preserve"> é a referência ao próprio serviço do Utilizador que está ativado para o Azure Private Link e implementado na própria rede virtual do Utilizador.</w:t>
      </w:r>
    </w:p>
    <w:p w14:paraId="612ECF73" w14:textId="785B8ED9" w:rsidR="00995A2A" w:rsidRDefault="00995A2A" w:rsidP="00F01ED6">
      <w:pPr>
        <w:pStyle w:val="ProductList-Body"/>
      </w:pPr>
      <w:r>
        <w:t xml:space="preserve">O </w:t>
      </w:r>
      <w:r w:rsidR="00380305">
        <w:t>“</w:t>
      </w:r>
      <w:r>
        <w:rPr>
          <w:b/>
          <w:bCs/>
          <w:color w:val="00188F"/>
        </w:rPr>
        <w:t>Azure Private Endpoint</w:t>
      </w:r>
      <w:r w:rsidR="00380305">
        <w:t>”</w:t>
      </w:r>
      <w:r>
        <w:t xml:space="preserve"> é uma interface de rede que liga o serviço ativado para Azure Private Link do Utilizador a um endereço IP privado na rede virtual do Utilizador.</w:t>
      </w:r>
    </w:p>
    <w:p w14:paraId="3AC93B4D" w14:textId="45542685" w:rsidR="00995A2A" w:rsidRPr="00995A2A" w:rsidRDefault="00EE6E3C" w:rsidP="00F01ED6">
      <w:pPr>
        <w:pStyle w:val="ProductList-Body"/>
        <w:spacing w:before="120"/>
        <w:rPr>
          <w:b/>
          <w:bCs/>
          <w:color w:val="00188F"/>
        </w:rPr>
      </w:pPr>
      <w:r>
        <w:rPr>
          <w:b/>
          <w:bCs/>
          <w:color w:val="00188F"/>
        </w:rPr>
        <w:t>Cálculo do Período de Disponibilidade</w:t>
      </w:r>
    </w:p>
    <w:p w14:paraId="54F4DAFA" w14:textId="044CE191" w:rsidR="00995A2A" w:rsidRDefault="00380305" w:rsidP="00F01ED6">
      <w:pPr>
        <w:pStyle w:val="ProductList-Body"/>
      </w:pPr>
      <w:r>
        <w:t>“</w:t>
      </w:r>
      <w:r w:rsidR="00995A2A">
        <w:rPr>
          <w:b/>
          <w:bCs/>
          <w:color w:val="00188F"/>
        </w:rPr>
        <w:t>Máximo de Minutos Disponíveis</w:t>
      </w:r>
      <w:r>
        <w:t>”</w:t>
      </w:r>
      <w:r w:rsidR="00995A2A">
        <w:t xml:space="preserve"> designa o total de minutos acumulados num Período Aplicável, durante o qual o Azure Private Link Service ou o</w:t>
      </w:r>
      <w:r w:rsidR="009B2B26">
        <w:t> </w:t>
      </w:r>
      <w:r w:rsidR="00995A2A">
        <w:t>Azure Private Endpoint esteve implementado numa subscrição do Microsoft Azure.</w:t>
      </w:r>
    </w:p>
    <w:p w14:paraId="16DCB845" w14:textId="4A6711A9" w:rsidR="00995A2A" w:rsidRDefault="00380305" w:rsidP="00F01ED6">
      <w:pPr>
        <w:pStyle w:val="ProductList-Body"/>
      </w:pPr>
      <w:r>
        <w:t>“</w:t>
      </w:r>
      <w:r w:rsidR="00995A2A">
        <w:rPr>
          <w:b/>
          <w:bCs/>
          <w:color w:val="00188F"/>
        </w:rPr>
        <w:t>Período de Indisponibilidade</w:t>
      </w:r>
      <w:r>
        <w:t>”</w:t>
      </w:r>
      <w:r w:rsidR="00995A2A">
        <w:t xml:space="preserve"> é o total acumulado de Máximo de Minutos Disponíveis num Período Aplicável para um determinado Azure Private Link Service ou Azure Private Endpoint durante o qual o Azure Private Link Service ou Azure Private Endpoint está indisponível. Um determinado minuto é considerado indisponível se todas as tentativas de ligação através do Azure Private Endpoint durante o minuto falharem.</w:t>
      </w:r>
    </w:p>
    <w:p w14:paraId="1181CDBC" w14:textId="337CBFFD" w:rsidR="00995A2A" w:rsidRDefault="00380305" w:rsidP="00F01ED6">
      <w:pPr>
        <w:pStyle w:val="ProductList-Body"/>
      </w:pPr>
      <w:r>
        <w:t>“</w:t>
      </w:r>
      <w:r w:rsidR="00995A2A">
        <w:rPr>
          <w:b/>
          <w:bCs/>
          <w:color w:val="00188F"/>
        </w:rPr>
        <w:t>Percentagem de Período de Disponibilidade</w:t>
      </w:r>
      <w:r>
        <w:t>”</w:t>
      </w:r>
      <w:r w:rsidR="00995A2A">
        <w:t xml:space="preserve"> A Percentagem de Período de Disponibilidade é calculada utilizando a seguinte fórmula:</w:t>
      </w:r>
    </w:p>
    <w:p w14:paraId="6710826E" w14:textId="77777777" w:rsidR="00995A2A" w:rsidRPr="00EF7CF9" w:rsidRDefault="00995A2A" w:rsidP="00F01ED6">
      <w:pPr>
        <w:pStyle w:val="ProductList-Body"/>
      </w:pPr>
    </w:p>
    <w:p w14:paraId="7F689305" w14:textId="1BB09DDF" w:rsidR="00995A2A"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76AAB3D" w14:textId="77777777" w:rsidR="00995A2A" w:rsidRPr="005A3C16" w:rsidRDefault="00995A2A" w:rsidP="00F01ED6">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F01ED6">
            <w:pPr>
              <w:pStyle w:val="ProductList-OfferingBody"/>
              <w:jc w:val="center"/>
            </w:pPr>
            <w:r>
              <w:t>&lt; 99,99%</w:t>
            </w:r>
          </w:p>
        </w:tc>
        <w:tc>
          <w:tcPr>
            <w:tcW w:w="5400" w:type="dxa"/>
          </w:tcPr>
          <w:p w14:paraId="3D4997BE" w14:textId="77777777" w:rsidR="00995A2A" w:rsidRPr="005A3C16" w:rsidRDefault="00995A2A" w:rsidP="00F01ED6">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F01ED6">
            <w:pPr>
              <w:pStyle w:val="ProductList-OfferingBody"/>
              <w:jc w:val="center"/>
            </w:pPr>
            <w:r>
              <w:t>&lt; 99%</w:t>
            </w:r>
          </w:p>
        </w:tc>
        <w:tc>
          <w:tcPr>
            <w:tcW w:w="5400" w:type="dxa"/>
          </w:tcPr>
          <w:p w14:paraId="74FCF29B" w14:textId="77777777" w:rsidR="00995A2A" w:rsidRPr="005A3C16" w:rsidRDefault="00995A2A" w:rsidP="00F01ED6">
            <w:pPr>
              <w:pStyle w:val="ProductList-OfferingBody"/>
              <w:jc w:val="center"/>
            </w:pPr>
            <w:r>
              <w:t>25%</w:t>
            </w:r>
          </w:p>
        </w:tc>
      </w:tr>
    </w:tbl>
    <w:p w14:paraId="1BA1E71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691B462" w14:textId="77777777" w:rsidR="00745257" w:rsidRDefault="00745257" w:rsidP="00840862">
      <w:pPr>
        <w:pStyle w:val="ProductList-Offering2Heading"/>
        <w:keepNext/>
        <w:tabs>
          <w:tab w:val="clear" w:pos="360"/>
        </w:tabs>
        <w:outlineLvl w:val="2"/>
      </w:pPr>
      <w:bookmarkStart w:id="349" w:name="_Toc182409709"/>
      <w:r>
        <w:t>Microsoft Purview</w:t>
      </w:r>
      <w:bookmarkEnd w:id="349"/>
    </w:p>
    <w:p w14:paraId="2EC1EF64" w14:textId="77777777" w:rsidR="00745257" w:rsidRDefault="00745257" w:rsidP="00745257">
      <w:pPr>
        <w:pStyle w:val="ProductList-Body"/>
        <w:rPr>
          <w:b/>
          <w:color w:val="00188F"/>
        </w:rPr>
      </w:pPr>
      <w:r>
        <w:rPr>
          <w:b/>
          <w:color w:val="00188F"/>
        </w:rPr>
        <w:t>Definições Adicionais</w:t>
      </w:r>
      <w:r w:rsidRPr="00473DD3">
        <w:rPr>
          <w:b/>
          <w:color w:val="00188F"/>
        </w:rPr>
        <w:t>:</w:t>
      </w:r>
    </w:p>
    <w:p w14:paraId="6109965C" w14:textId="77777777" w:rsidR="00745257" w:rsidRDefault="00745257" w:rsidP="00745257">
      <w:pPr>
        <w:pStyle w:val="ProductList-Body"/>
        <w:spacing w:after="40"/>
      </w:pPr>
      <w:r>
        <w:t>“</w:t>
      </w:r>
      <w:r>
        <w:rPr>
          <w:b/>
          <w:color w:val="00188F"/>
        </w:rPr>
        <w:t>Total de Pedidos</w:t>
      </w:r>
      <w:r>
        <w:t>” designa o conjunto de todos os pedidos de API autenticados, que não Pedidos Excluídos, para executar as operações do Microsoft Purview durante um Período Aplicável para uma determinada subscrição do Microsoft Azure.</w:t>
      </w:r>
    </w:p>
    <w:p w14:paraId="47DA28C1" w14:textId="77777777" w:rsidR="00745257" w:rsidRDefault="00745257" w:rsidP="00745257">
      <w:pPr>
        <w:pStyle w:val="ProductList-Body"/>
        <w:spacing w:after="40"/>
      </w:pPr>
      <w:r>
        <w:t>“</w:t>
      </w:r>
      <w:r>
        <w:rPr>
          <w:b/>
          <w:color w:val="00188F"/>
        </w:rPr>
        <w:t>Pedidos Excluídos</w:t>
      </w:r>
      <w:r>
        <w:t>” designa o conjunto de pedidos que resultam num código de estado HTTP 4xx.</w:t>
      </w:r>
    </w:p>
    <w:p w14:paraId="175A4C15" w14:textId="77777777" w:rsidR="00745257" w:rsidRDefault="00745257" w:rsidP="00745257">
      <w:pPr>
        <w:pStyle w:val="ProductList-Body"/>
        <w:spacing w:after="40"/>
      </w:pPr>
      <w:r>
        <w:t>“</w:t>
      </w:r>
      <w:r>
        <w:rPr>
          <w:b/>
          <w:color w:val="00188F"/>
        </w:rPr>
        <w:t>Pedidos com Falha</w:t>
      </w:r>
      <w:r>
        <w:t>” é o conjunto de todos os pedidos no Total de Pedidos que devolvem um Código de Erro.</w:t>
      </w:r>
    </w:p>
    <w:p w14:paraId="7E257E8B" w14:textId="77777777" w:rsidR="00745257" w:rsidRDefault="00745257" w:rsidP="00745257">
      <w:pPr>
        <w:pStyle w:val="ProductList-Body"/>
        <w:spacing w:after="40"/>
      </w:pPr>
      <w:r>
        <w:t>A “</w:t>
      </w:r>
      <w:r>
        <w:rPr>
          <w:b/>
          <w:color w:val="00188F"/>
        </w:rPr>
        <w:t>Percentagem de Período de Disponibilidade</w:t>
      </w:r>
      <w:r>
        <w:t>” para as chamadas da API efetuadas para o serviço Microsoft Purview é calculada como o Total de Pedidos menos os Pedidos com Falha a dividir pelo Total de Pedidos num Período Aplicável para uma determinada subscrição do Microsoft Azure.</w:t>
      </w:r>
    </w:p>
    <w:p w14:paraId="7F748E2F" w14:textId="77777777" w:rsidR="00745257" w:rsidRDefault="00745257" w:rsidP="00745257">
      <w:pPr>
        <w:pStyle w:val="ProductList-Body"/>
        <w:spacing w:after="40"/>
      </w:pPr>
    </w:p>
    <w:p w14:paraId="357F8C4C" w14:textId="77777777" w:rsidR="00745257" w:rsidRDefault="00745257" w:rsidP="00745257">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93616BF" w14:textId="77777777" w:rsidR="00745257" w:rsidRDefault="00745257" w:rsidP="00745257">
      <w:pPr>
        <w:pStyle w:val="ProductList-Body"/>
      </w:pPr>
    </w:p>
    <w:p w14:paraId="2B13A71B" w14:textId="77777777" w:rsidR="00745257" w:rsidRDefault="00000000" w:rsidP="00745257">
      <w:pPr>
        <w:pStyle w:val="ListParagraph"/>
        <w:spacing w:line="240" w:lineRule="auto"/>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x100</m:t>
          </m:r>
        </m:oMath>
      </m:oMathPara>
    </w:p>
    <w:p w14:paraId="2BFE8B41" w14:textId="77777777" w:rsidR="00745257" w:rsidRDefault="00745257" w:rsidP="00745257">
      <w:pPr>
        <w:pStyle w:val="ProductList-Body"/>
        <w:spacing w:before="120"/>
      </w:pPr>
      <w:r>
        <w:rPr>
          <w:b/>
          <w:color w:val="00188F"/>
        </w:rPr>
        <w:t>Os seguintes Créditos de Serviço são aplicáveis à utilização que o Cliente faz das chamadas da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5257" w14:paraId="2683303F" w14:textId="77777777" w:rsidTr="006F6E1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310B49"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AE514"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745257" w14:paraId="1D9DFD57"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E9DA8" w14:textId="77777777" w:rsidR="00745257" w:rsidRDefault="00745257"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2F56C" w14:textId="77777777" w:rsidR="00745257" w:rsidRDefault="00745257" w:rsidP="006F6E13">
            <w:pPr>
              <w:pStyle w:val="ProductList-OfferingBody"/>
              <w:jc w:val="center"/>
              <w:rPr>
                <w:kern w:val="2"/>
                <w14:ligatures w14:val="standardContextual"/>
              </w:rPr>
            </w:pPr>
            <w:r>
              <w:rPr>
                <w14:ligatures w14:val="standardContextual"/>
              </w:rPr>
              <w:t>10%</w:t>
            </w:r>
          </w:p>
        </w:tc>
      </w:tr>
      <w:tr w:rsidR="00745257" w14:paraId="631E0380"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CA28F" w14:textId="77777777" w:rsidR="00745257" w:rsidRDefault="00745257"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52B60" w14:textId="77777777" w:rsidR="00745257" w:rsidRDefault="00745257" w:rsidP="006F6E13">
            <w:pPr>
              <w:pStyle w:val="ProductList-OfferingBody"/>
              <w:jc w:val="center"/>
              <w:rPr>
                <w:kern w:val="2"/>
                <w14:ligatures w14:val="standardContextual"/>
              </w:rPr>
            </w:pPr>
            <w:r>
              <w:rPr>
                <w14:ligatures w14:val="standardContextual"/>
              </w:rPr>
              <w:t>25%</w:t>
            </w:r>
          </w:p>
        </w:tc>
      </w:tr>
    </w:tbl>
    <w:p w14:paraId="117928A2" w14:textId="77777777" w:rsidR="00745257" w:rsidRDefault="00745257" w:rsidP="001B0E4C">
      <w:pPr>
        <w:spacing w:before="120" w:after="0" w:line="240" w:lineRule="auto"/>
        <w:rPr>
          <w:sz w:val="18"/>
        </w:rPr>
      </w:pPr>
      <w:r>
        <w:rPr>
          <w:sz w:val="18"/>
        </w:rPr>
        <w:t>* Os Créditos de Serviço acima só estão disponíveis para partes do Microsoft Purview que são oferecidos por subscrição (anteriormente conhecido como Azure Purview).</w:t>
      </w:r>
    </w:p>
    <w:p w14:paraId="70188E3D" w14:textId="77777777" w:rsidR="00745257" w:rsidRPr="00EF7CF9" w:rsidRDefault="00745257" w:rsidP="007452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18AC1C5" w14:textId="77777777" w:rsidR="00BC654E" w:rsidRPr="00E1785C" w:rsidRDefault="00BC654E" w:rsidP="001B0E4C">
      <w:pPr>
        <w:pStyle w:val="ProductList-Offering2Heading"/>
        <w:tabs>
          <w:tab w:val="clear" w:pos="360"/>
          <w:tab w:val="clear" w:pos="720"/>
          <w:tab w:val="clear" w:pos="1080"/>
        </w:tabs>
        <w:outlineLvl w:val="2"/>
      </w:pPr>
      <w:bookmarkStart w:id="350" w:name="_Toc182409710"/>
      <w:r>
        <w:t>Azure Red Hat OpenShift</w:t>
      </w:r>
      <w:bookmarkEnd w:id="350"/>
    </w:p>
    <w:p w14:paraId="43386062" w14:textId="77777777" w:rsidR="00BC654E" w:rsidRPr="00E1785C" w:rsidRDefault="00BC654E" w:rsidP="00BC654E">
      <w:pPr>
        <w:pStyle w:val="ProductList-Body"/>
        <w:rPr>
          <w:b/>
          <w:bCs/>
          <w:color w:val="00188F"/>
        </w:rPr>
      </w:pPr>
      <w:r>
        <w:rPr>
          <w:b/>
          <w:bCs/>
          <w:color w:val="00188F"/>
        </w:rPr>
        <w:t>Definições Adicionais</w:t>
      </w:r>
    </w:p>
    <w:p w14:paraId="64D663D2" w14:textId="77777777" w:rsidR="00BC654E" w:rsidRDefault="00BC654E" w:rsidP="00BC654E">
      <w:pPr>
        <w:pStyle w:val="ProductList-Body"/>
      </w:pPr>
      <w:r>
        <w:t>“</w:t>
      </w:r>
      <w:r>
        <w:rPr>
          <w:b/>
          <w:bCs/>
          <w:color w:val="00188F"/>
        </w:rPr>
        <w:t>Máximo de Minutos Disponíveis</w:t>
      </w:r>
      <w:r>
        <w:t>” designa o total de minutos acumulados durante um Período Aplicável durante o qual um determinado cluster do Azure Red Hat OpenShift tenha sido implementado numa subscrição do Microsoft Azure.</w:t>
      </w:r>
    </w:p>
    <w:p w14:paraId="0FC05AE4" w14:textId="77777777" w:rsidR="00BC654E" w:rsidRDefault="00BC654E" w:rsidP="00BC654E">
      <w:pPr>
        <w:pStyle w:val="ProductList-Body"/>
      </w:pPr>
      <w:r>
        <w:t>“</w:t>
      </w:r>
      <w:r>
        <w:rPr>
          <w:b/>
          <w:bCs/>
          <w:color w:val="00188F"/>
        </w:rPr>
        <w:t>Período de indisponibilidade</w:t>
      </w:r>
      <w:r>
        <w:t>” designa o total Máximo de Minutos Disponíveis acumulados durante um Período Aplicável durante o qual um determinado ponto final da API de cluster do Azure Red Hat OpenShift está indisponível. Considera-se que um determinado minuto está indisponível se todas as tentativas de ligação ao ponto final da API de cluster, durante esse minuto, falharem.</w:t>
      </w:r>
    </w:p>
    <w:p w14:paraId="616B8A02" w14:textId="77777777" w:rsidR="00BC654E" w:rsidRDefault="00BC654E" w:rsidP="00BC654E">
      <w:pPr>
        <w:pStyle w:val="ProductList-Body"/>
      </w:pPr>
      <w:r>
        <w:t>“</w:t>
      </w:r>
      <w:r>
        <w:rPr>
          <w:b/>
          <w:bCs/>
          <w:color w:val="00188F"/>
        </w:rPr>
        <w:t>Percentagem de Período de Disponibilidade</w:t>
      </w:r>
      <w:r>
        <w:t>” A Percentagem de Período de Disponibilidade é calculada utilizando a seguinte fórmula:</w:t>
      </w:r>
    </w:p>
    <w:p w14:paraId="759A5CDE" w14:textId="77777777" w:rsidR="00BC654E" w:rsidRPr="00EF7CF9" w:rsidRDefault="00BC654E" w:rsidP="00BC654E">
      <w:pPr>
        <w:pStyle w:val="ProductList-Body"/>
      </w:pPr>
    </w:p>
    <w:p w14:paraId="3DE9B14D" w14:textId="77777777" w:rsidR="00BC654E" w:rsidRPr="001B0E4C" w:rsidRDefault="00000000" w:rsidP="00BC654E">
      <w:pPr>
        <w:pStyle w:val="ListParagraph"/>
        <w:spacing w:line="240" w:lineRule="auto"/>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1BA64AF8" w14:textId="77777777" w:rsidTr="006F6E13">
        <w:trPr>
          <w:tblHeader/>
        </w:trPr>
        <w:tc>
          <w:tcPr>
            <w:tcW w:w="5400" w:type="dxa"/>
            <w:shd w:val="clear" w:color="auto" w:fill="0072C6"/>
          </w:tcPr>
          <w:p w14:paraId="4943AC2A"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430B541"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5B7B315E" w14:textId="77777777" w:rsidTr="006F6E13">
        <w:tc>
          <w:tcPr>
            <w:tcW w:w="5400" w:type="dxa"/>
          </w:tcPr>
          <w:p w14:paraId="5596C317" w14:textId="77777777" w:rsidR="00BC654E" w:rsidRPr="005A3C16" w:rsidRDefault="00BC654E" w:rsidP="006F6E13">
            <w:pPr>
              <w:pStyle w:val="ProductList-OfferingBody"/>
              <w:jc w:val="center"/>
            </w:pPr>
            <w:r>
              <w:t>&lt; 99,95%</w:t>
            </w:r>
          </w:p>
        </w:tc>
        <w:tc>
          <w:tcPr>
            <w:tcW w:w="5400" w:type="dxa"/>
          </w:tcPr>
          <w:p w14:paraId="13C72FA3" w14:textId="77777777" w:rsidR="00BC654E" w:rsidRPr="005A3C16" w:rsidRDefault="00BC654E" w:rsidP="006F6E13">
            <w:pPr>
              <w:pStyle w:val="ProductList-OfferingBody"/>
              <w:jc w:val="center"/>
            </w:pPr>
            <w:r>
              <w:t>10%</w:t>
            </w:r>
          </w:p>
        </w:tc>
      </w:tr>
      <w:tr w:rsidR="00BC654E" w:rsidRPr="00B44CF9" w14:paraId="609CCFC5" w14:textId="77777777" w:rsidTr="006F6E13">
        <w:tc>
          <w:tcPr>
            <w:tcW w:w="5400" w:type="dxa"/>
          </w:tcPr>
          <w:p w14:paraId="2021C2FC" w14:textId="77777777" w:rsidR="00BC654E" w:rsidRPr="005A3C16" w:rsidRDefault="00BC654E" w:rsidP="006F6E13">
            <w:pPr>
              <w:pStyle w:val="ProductList-OfferingBody"/>
              <w:jc w:val="center"/>
            </w:pPr>
            <w:r>
              <w:t>&lt; 99%</w:t>
            </w:r>
          </w:p>
        </w:tc>
        <w:tc>
          <w:tcPr>
            <w:tcW w:w="5400" w:type="dxa"/>
          </w:tcPr>
          <w:p w14:paraId="4A41FD3C" w14:textId="77777777" w:rsidR="00BC654E" w:rsidRPr="005A3C16" w:rsidRDefault="00BC654E" w:rsidP="006F6E13">
            <w:pPr>
              <w:pStyle w:val="ProductList-OfferingBody"/>
              <w:jc w:val="center"/>
            </w:pPr>
            <w:r>
              <w:t>25%</w:t>
            </w:r>
          </w:p>
        </w:tc>
      </w:tr>
    </w:tbl>
    <w:p w14:paraId="7ADBA4C2" w14:textId="77777777" w:rsidR="00BC654E" w:rsidRPr="00EF7CF9" w:rsidRDefault="00BC654E" w:rsidP="00BC65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4CB1C4" w14:textId="77777777" w:rsidR="00BC654E" w:rsidRPr="000C7D2A" w:rsidRDefault="00BC654E" w:rsidP="00BC654E">
      <w:pPr>
        <w:pStyle w:val="ProductList-Offering2Heading"/>
        <w:keepNext/>
        <w:tabs>
          <w:tab w:val="clear" w:pos="360"/>
          <w:tab w:val="clear" w:pos="720"/>
          <w:tab w:val="clear" w:pos="1080"/>
        </w:tabs>
        <w:outlineLvl w:val="2"/>
      </w:pPr>
      <w:bookmarkStart w:id="351" w:name="_Toc182409711"/>
      <w:r>
        <w:t>Composição Remota</w:t>
      </w:r>
      <w:bookmarkEnd w:id="351"/>
    </w:p>
    <w:p w14:paraId="344C9FD2" w14:textId="77777777" w:rsidR="00BC654E" w:rsidRPr="000C7D2A" w:rsidRDefault="00BC654E" w:rsidP="00BC654E">
      <w:pPr>
        <w:pStyle w:val="ProductList-Body"/>
        <w:rPr>
          <w:b/>
          <w:bCs/>
          <w:color w:val="00188F"/>
        </w:rPr>
      </w:pPr>
      <w:r>
        <w:rPr>
          <w:b/>
          <w:bCs/>
          <w:color w:val="00188F"/>
        </w:rPr>
        <w:t>Definições Adicionais</w:t>
      </w:r>
    </w:p>
    <w:p w14:paraId="7A9BF92D" w14:textId="77777777" w:rsidR="00BC654E" w:rsidRDefault="00BC654E" w:rsidP="00BC654E">
      <w:pPr>
        <w:pStyle w:val="ProductList-Body"/>
      </w:pPr>
      <w:r>
        <w:t>“</w:t>
      </w:r>
      <w:r>
        <w:rPr>
          <w:b/>
          <w:bCs/>
          <w:color w:val="00188F"/>
        </w:rPr>
        <w:t>Conversão</w:t>
      </w:r>
      <w:r>
        <w:t>” designa um processo que transforma os modelos 3D no formato exigido durante uma Sessão de Composição.</w:t>
      </w:r>
    </w:p>
    <w:p w14:paraId="4CB334E6" w14:textId="77777777" w:rsidR="00BC654E" w:rsidRDefault="00BC654E" w:rsidP="00BC654E">
      <w:pPr>
        <w:pStyle w:val="ProductList-Body"/>
      </w:pPr>
      <w:r>
        <w:t>“</w:t>
      </w:r>
      <w:r>
        <w:rPr>
          <w:b/>
          <w:bCs/>
          <w:color w:val="00188F"/>
        </w:rPr>
        <w:t>Sessão de Composição</w:t>
      </w:r>
      <w:r>
        <w:t>” designa uma interação com o Serviço de Composição Remota.</w:t>
      </w:r>
    </w:p>
    <w:p w14:paraId="120137A5" w14:textId="77777777" w:rsidR="00BC654E" w:rsidRPr="000C7D2A" w:rsidRDefault="00BC654E" w:rsidP="00BC654E">
      <w:pPr>
        <w:pStyle w:val="ProductList-Body"/>
        <w:spacing w:before="120"/>
        <w:rPr>
          <w:b/>
          <w:bCs/>
          <w:color w:val="00188F"/>
        </w:rPr>
      </w:pPr>
      <w:r>
        <w:rPr>
          <w:b/>
          <w:bCs/>
          <w:color w:val="00188F"/>
        </w:rPr>
        <w:t>Cálculo do Período de Disponibilidade e Níveis de Serviço para Transações de API REST de Conversão</w:t>
      </w:r>
    </w:p>
    <w:p w14:paraId="53C0717C" w14:textId="77777777" w:rsidR="00BC654E" w:rsidRDefault="00BC654E" w:rsidP="00BC654E">
      <w:pPr>
        <w:pStyle w:val="ProductList-Body"/>
      </w:pPr>
      <w:r>
        <w:t>“</w:t>
      </w:r>
      <w:r>
        <w:rPr>
          <w:b/>
          <w:bCs/>
          <w:color w:val="00188F"/>
        </w:rPr>
        <w:t>Total de Tentativas de Transação</w:t>
      </w:r>
      <w:r>
        <w:t>” é o número total de pedidos da API REST autenticados para a funcionalidade de Conversão no Serviço Azure Remote Rendering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8CE72E6" w14:textId="77777777" w:rsidR="00BC654E" w:rsidRDefault="00BC654E" w:rsidP="00BC654E">
      <w:pPr>
        <w:pStyle w:val="ProductList-Body"/>
      </w:pPr>
      <w:r>
        <w:t>“</w:t>
      </w:r>
      <w:r>
        <w:rPr>
          <w:b/>
          <w:bCs/>
          <w:color w:val="00188F"/>
        </w:rPr>
        <w:t>Transações com Falha</w:t>
      </w:r>
      <w:r>
        <w:t>” é o conjunto de todos os pedidos no Total de Tentativas de Transação que devolvem um Código de Erro num prazo de 30 segundos a partir da receção do pedido por parte da Microsoft.</w:t>
      </w:r>
    </w:p>
    <w:p w14:paraId="431A94A8" w14:textId="77777777" w:rsidR="00BC654E" w:rsidRDefault="00BC654E" w:rsidP="00BC654E">
      <w:pPr>
        <w:pStyle w:val="ProductList-Body"/>
      </w:pPr>
      <w:r>
        <w:t>A “</w:t>
      </w:r>
      <w:r>
        <w:rPr>
          <w:b/>
          <w:bCs/>
          <w:color w:val="00188F"/>
        </w:rPr>
        <w:t>Percentagem de Período de Disponibilidade</w:t>
      </w:r>
      <w:r>
        <w:t>” para o Serviço Azure Remote Rendering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6DC5C639" w14:textId="77777777" w:rsidR="00BC654E" w:rsidRPr="00EF7CF9" w:rsidRDefault="00BC654E" w:rsidP="00BC654E">
      <w:pPr>
        <w:pStyle w:val="ProductList-Body"/>
      </w:pPr>
    </w:p>
    <w:p w14:paraId="575266B3" w14:textId="77777777" w:rsidR="00BC654E" w:rsidRPr="00EF7CF9" w:rsidRDefault="00000000" w:rsidP="00BC654E">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0F3AD3BF" w14:textId="77777777" w:rsidR="00BC654E" w:rsidRPr="000C7D2A" w:rsidRDefault="00BC654E" w:rsidP="00BC654E">
      <w:pPr>
        <w:pStyle w:val="ProductList-Body"/>
        <w:rPr>
          <w:b/>
          <w:bCs/>
          <w:color w:val="00188F"/>
        </w:rPr>
      </w:pPr>
      <w:r>
        <w:rPr>
          <w:b/>
          <w:bCs/>
          <w:color w:val="00188F"/>
        </w:rPr>
        <w:t>Os seguintes Níveis de Serviço e Créditos de Serviço são aplicáveis à utilização que o Cliente faz da funcionalidade Conversão do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38425541" w14:textId="77777777" w:rsidTr="006F6E13">
        <w:trPr>
          <w:tblHeader/>
        </w:trPr>
        <w:tc>
          <w:tcPr>
            <w:tcW w:w="5400" w:type="dxa"/>
            <w:shd w:val="clear" w:color="auto" w:fill="0072C6"/>
          </w:tcPr>
          <w:p w14:paraId="5ED9FD62"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BDA7EE0"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7CA2DB34" w14:textId="77777777" w:rsidTr="006F6E13">
        <w:tc>
          <w:tcPr>
            <w:tcW w:w="5400" w:type="dxa"/>
          </w:tcPr>
          <w:p w14:paraId="63CD7E72" w14:textId="77777777" w:rsidR="00BC654E" w:rsidRPr="005A3C16" w:rsidRDefault="00BC654E" w:rsidP="006F6E13">
            <w:pPr>
              <w:pStyle w:val="ProductList-OfferingBody"/>
              <w:jc w:val="center"/>
            </w:pPr>
            <w:r>
              <w:t>&lt; 99,9%</w:t>
            </w:r>
          </w:p>
        </w:tc>
        <w:tc>
          <w:tcPr>
            <w:tcW w:w="5400" w:type="dxa"/>
          </w:tcPr>
          <w:p w14:paraId="5D78C177" w14:textId="77777777" w:rsidR="00BC654E" w:rsidRPr="005A3C16" w:rsidRDefault="00BC654E" w:rsidP="006F6E13">
            <w:pPr>
              <w:pStyle w:val="ProductList-OfferingBody"/>
              <w:jc w:val="center"/>
            </w:pPr>
            <w:r>
              <w:t>10%</w:t>
            </w:r>
          </w:p>
        </w:tc>
      </w:tr>
      <w:tr w:rsidR="00BC654E" w:rsidRPr="00B44CF9" w14:paraId="19D690EA" w14:textId="77777777" w:rsidTr="006F6E13">
        <w:tc>
          <w:tcPr>
            <w:tcW w:w="5400" w:type="dxa"/>
          </w:tcPr>
          <w:p w14:paraId="0EC04617" w14:textId="77777777" w:rsidR="00BC654E" w:rsidRPr="005A3C16" w:rsidRDefault="00BC654E" w:rsidP="006F6E13">
            <w:pPr>
              <w:pStyle w:val="ProductList-OfferingBody"/>
              <w:jc w:val="center"/>
            </w:pPr>
            <w:r>
              <w:t>&lt; 99%</w:t>
            </w:r>
          </w:p>
        </w:tc>
        <w:tc>
          <w:tcPr>
            <w:tcW w:w="5400" w:type="dxa"/>
          </w:tcPr>
          <w:p w14:paraId="014D9EED" w14:textId="77777777" w:rsidR="00BC654E" w:rsidRPr="005A3C16" w:rsidRDefault="00BC654E" w:rsidP="006F6E13">
            <w:pPr>
              <w:pStyle w:val="ProductList-OfferingBody"/>
              <w:jc w:val="center"/>
            </w:pPr>
            <w:r>
              <w:t>25%</w:t>
            </w:r>
          </w:p>
        </w:tc>
      </w:tr>
    </w:tbl>
    <w:p w14:paraId="578217EE" w14:textId="77777777" w:rsidR="00BC654E" w:rsidRPr="004E4800" w:rsidRDefault="00BC654E" w:rsidP="00BC654E">
      <w:pPr>
        <w:pStyle w:val="ProductList-Body"/>
        <w:spacing w:before="120"/>
        <w:rPr>
          <w:b/>
          <w:bCs/>
          <w:color w:val="00188F"/>
        </w:rPr>
      </w:pPr>
      <w:r>
        <w:rPr>
          <w:b/>
          <w:bCs/>
          <w:color w:val="00188F"/>
        </w:rPr>
        <w:t>Cálculo do Período de Disponibilidade e Níveis de Serviço para Sessões de Composição</w:t>
      </w:r>
    </w:p>
    <w:p w14:paraId="58D414EF" w14:textId="2A350E59" w:rsidR="000C7D2A" w:rsidRDefault="00380305" w:rsidP="00F01ED6">
      <w:pPr>
        <w:pStyle w:val="ProductList-Body"/>
      </w:pPr>
      <w:r>
        <w:t>“</w:t>
      </w:r>
      <w:r w:rsidR="000C7D2A">
        <w:rPr>
          <w:b/>
          <w:bCs/>
          <w:color w:val="00188F"/>
        </w:rPr>
        <w:t>Minutos de Implementação</w:t>
      </w:r>
      <w:r>
        <w:t>”</w:t>
      </w:r>
      <w:r w:rsidR="000C7D2A">
        <w:t xml:space="preserve"> é o número de minutos numa Sessão de Composição, medido a partir da alocação de uma Sessão de Composição devido a uma ação iniciada pelo Cliente até ao momento em que o Cliente iniciou uma ação que resultaria na paragem da sessão durante um Período Aplicável.</w:t>
      </w:r>
    </w:p>
    <w:p w14:paraId="75D2D956" w14:textId="3F017D98" w:rsidR="000C7D2A" w:rsidRDefault="00380305" w:rsidP="00F01ED6">
      <w:pPr>
        <w:pStyle w:val="ProductList-Body"/>
      </w:pPr>
      <w:r>
        <w:t>“</w:t>
      </w:r>
      <w:r w:rsidR="000C7D2A">
        <w:rPr>
          <w:b/>
          <w:bCs/>
          <w:color w:val="00188F"/>
        </w:rPr>
        <w:t>Máximo de Minutos Disponíveis</w:t>
      </w:r>
      <w:r>
        <w:t>”</w:t>
      </w:r>
      <w:r w:rsidR="000C7D2A">
        <w:t xml:space="preserve"> designa a soma de todos os Minutos de Implementação em todas as Sessões de Composição durante um Período Aplicável.</w:t>
      </w:r>
    </w:p>
    <w:p w14:paraId="5D2CD3DA" w14:textId="2D16243C" w:rsidR="000C7D2A" w:rsidRPr="00957253" w:rsidRDefault="00380305" w:rsidP="00F01ED6">
      <w:pPr>
        <w:pStyle w:val="ProductList-Body"/>
        <w:rPr>
          <w:spacing w:val="-3"/>
        </w:rPr>
      </w:pPr>
      <w:r>
        <w:rPr>
          <w:spacing w:val="-3"/>
        </w:rPr>
        <w:t>“</w:t>
      </w:r>
      <w:r w:rsidR="000C7D2A" w:rsidRPr="00957253">
        <w:rPr>
          <w:b/>
          <w:bCs/>
          <w:color w:val="00188F"/>
          <w:spacing w:val="-3"/>
        </w:rPr>
        <w:t>Período de Indisponibilidade</w:t>
      </w:r>
      <w:r>
        <w:rPr>
          <w:spacing w:val="-3"/>
        </w:rPr>
        <w:t>”</w:t>
      </w:r>
      <w:r w:rsidR="000C7D2A" w:rsidRPr="00957253">
        <w:rPr>
          <w:spacing w:val="-3"/>
        </w:rPr>
        <w:t xml:space="preserve"> é o total de Minutos de Implementação acumulados quando o Serviço de Composição Remota está indisponível. Um minuto é considerado indisponível para uma determinada Sessão de Composição se esta não tiver qualquer Conectividade Externa durante o minuto.</w:t>
      </w:r>
    </w:p>
    <w:p w14:paraId="6B5C2F46" w14:textId="4A35B156" w:rsidR="000C7D2A" w:rsidRDefault="000C7D2A" w:rsidP="00F01ED6">
      <w:pPr>
        <w:pStyle w:val="ProductList-Body"/>
      </w:pPr>
      <w:r>
        <w:t xml:space="preserve">A </w:t>
      </w:r>
      <w:r w:rsidR="00380305">
        <w:t>“</w:t>
      </w:r>
      <w:r>
        <w:rPr>
          <w:b/>
          <w:bCs/>
          <w:color w:val="00188F"/>
        </w:rPr>
        <w:t>Percentagem de Período de Disponibilidade</w:t>
      </w:r>
      <w:r w:rsidR="00380305">
        <w:t>”</w:t>
      </w:r>
      <w:r>
        <w:t xml:space="preserve"> para a Sessão de Composição é calculada como o Máximo de Minutos Disponíveis menos o Período de Indisponibilidade a dividir pelo Máximo de Minutos Disponíveis num Período Aplicável para uma determinada subscrição do Azure. A</w:t>
      </w:r>
      <w:r w:rsidR="003730C8">
        <w:t> </w:t>
      </w:r>
      <w:r>
        <w:t>Percentagem de Período de Disponibilidade é representada pela seguinte fórmula:</w:t>
      </w:r>
    </w:p>
    <w:p w14:paraId="11F94045" w14:textId="77777777" w:rsidR="00381981" w:rsidRPr="00EF7CF9" w:rsidRDefault="00381981" w:rsidP="00F01ED6">
      <w:pPr>
        <w:pStyle w:val="ProductList-Body"/>
      </w:pPr>
    </w:p>
    <w:p w14:paraId="22235A21" w14:textId="16911006" w:rsidR="00381981"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3B2938" w14:textId="77777777" w:rsidR="000C7D2A" w:rsidRPr="00CF7B6D" w:rsidRDefault="000C7D2A" w:rsidP="00F01ED6">
      <w:pPr>
        <w:pStyle w:val="ProductList-Body"/>
        <w:rPr>
          <w:b/>
          <w:bCs/>
          <w:color w:val="00188F"/>
        </w:rPr>
      </w:pPr>
      <w:r>
        <w:rPr>
          <w:b/>
          <w:bCs/>
          <w:color w:val="00188F"/>
        </w:rPr>
        <w:t>Os seguintes Níveis de Serviço e Créditos de Serviço são aplicáveis à utilização que o Cliente faz das Sessões de Composição no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204C83" w14:textId="77777777" w:rsidR="00381981" w:rsidRPr="005A3C16" w:rsidRDefault="00381981" w:rsidP="00F01ED6">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F01ED6">
            <w:pPr>
              <w:pStyle w:val="ProductList-OfferingBody"/>
              <w:jc w:val="center"/>
            </w:pPr>
            <w:r>
              <w:t>&lt; 99,9%</w:t>
            </w:r>
          </w:p>
        </w:tc>
        <w:tc>
          <w:tcPr>
            <w:tcW w:w="5400" w:type="dxa"/>
          </w:tcPr>
          <w:p w14:paraId="272E18FB" w14:textId="77777777" w:rsidR="00381981" w:rsidRPr="005A3C16" w:rsidRDefault="00381981" w:rsidP="00F01ED6">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F01ED6">
            <w:pPr>
              <w:pStyle w:val="ProductList-OfferingBody"/>
              <w:jc w:val="center"/>
            </w:pPr>
            <w:r>
              <w:t>&lt; 99%</w:t>
            </w:r>
          </w:p>
        </w:tc>
        <w:tc>
          <w:tcPr>
            <w:tcW w:w="5400" w:type="dxa"/>
          </w:tcPr>
          <w:p w14:paraId="499C4BE6" w14:textId="77777777" w:rsidR="00381981" w:rsidRPr="005A3C16" w:rsidRDefault="00381981" w:rsidP="00F01ED6">
            <w:pPr>
              <w:pStyle w:val="ProductList-OfferingBody"/>
              <w:jc w:val="center"/>
            </w:pPr>
            <w:r>
              <w:t>25%</w:t>
            </w:r>
          </w:p>
        </w:tc>
      </w:tr>
    </w:tbl>
    <w:p w14:paraId="094AC5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EB8223" w14:textId="77777777" w:rsidR="00A82CB1" w:rsidRPr="00A82CB1" w:rsidRDefault="00A82CB1" w:rsidP="00F01ED6">
      <w:pPr>
        <w:pStyle w:val="ProductList-Offering2Heading"/>
        <w:keepNext/>
        <w:tabs>
          <w:tab w:val="clear" w:pos="360"/>
          <w:tab w:val="clear" w:pos="720"/>
          <w:tab w:val="clear" w:pos="1080"/>
        </w:tabs>
        <w:outlineLvl w:val="2"/>
      </w:pPr>
      <w:bookmarkStart w:id="352" w:name="_Toc182409712"/>
      <w:r>
        <w:t>Azure Route Server</w:t>
      </w:r>
      <w:bookmarkEnd w:id="352"/>
    </w:p>
    <w:p w14:paraId="3DEC4CEF" w14:textId="49D02559" w:rsidR="00A82CB1" w:rsidRPr="00A82CB1" w:rsidRDefault="00EE6E3C" w:rsidP="00F01ED6">
      <w:pPr>
        <w:pStyle w:val="ProductList-Body"/>
        <w:keepNext/>
        <w:rPr>
          <w:b/>
          <w:bCs/>
          <w:color w:val="00188F"/>
        </w:rPr>
      </w:pPr>
      <w:r>
        <w:rPr>
          <w:b/>
          <w:bCs/>
          <w:color w:val="00188F"/>
        </w:rPr>
        <w:t>Cálculo do Período de Disponibilidade</w:t>
      </w:r>
    </w:p>
    <w:p w14:paraId="2D504CF5" w14:textId="700839D9" w:rsidR="00A82CB1" w:rsidRDefault="00380305" w:rsidP="00F01ED6">
      <w:pPr>
        <w:pStyle w:val="ProductList-Body"/>
      </w:pPr>
      <w:r>
        <w:t>“</w:t>
      </w:r>
      <w:r w:rsidR="00A82CB1">
        <w:rPr>
          <w:b/>
          <w:bCs/>
          <w:color w:val="00188F"/>
        </w:rPr>
        <w:t>Máximo de Minutos Disponíveis</w:t>
      </w:r>
      <w:r>
        <w:t>”</w:t>
      </w:r>
      <w:r w:rsidR="00A82CB1">
        <w:t xml:space="preserve"> designa o total de minutos acumulados durante um Período Aplicável durante o qual um determinado Azure Route Server tenha sido implementado numa subscrição do Microsoft Azure.</w:t>
      </w:r>
    </w:p>
    <w:p w14:paraId="67F8492A" w14:textId="3B34BDDC" w:rsidR="00A82CB1" w:rsidRDefault="00380305" w:rsidP="00F01ED6">
      <w:pPr>
        <w:pStyle w:val="ProductList-Body"/>
      </w:pPr>
      <w:r>
        <w:t>“</w:t>
      </w:r>
      <w:r w:rsidR="00A82CB1">
        <w:rPr>
          <w:b/>
          <w:bCs/>
          <w:color w:val="00188F"/>
        </w:rPr>
        <w:t>Período de Indisponibilidade</w:t>
      </w:r>
      <w:r>
        <w:t>”</w:t>
      </w:r>
      <w:r w:rsidR="00A82CB1">
        <w:t xml:space="preserve"> designa ao total acumulado de Máximo de Minutos Disponíveis durante o qual um Azure Route Server está indisponível. Considera-se que um minuto está indisponível se todas as tentativas de ligação ao Azure Route Server durante esse minuto falharem.</w:t>
      </w:r>
    </w:p>
    <w:p w14:paraId="3255F05B" w14:textId="512DCFDC" w:rsidR="00A82CB1" w:rsidRDefault="00A82CB1" w:rsidP="00F01ED6">
      <w:pPr>
        <w:pStyle w:val="ProductList-Body"/>
      </w:pPr>
      <w:r>
        <w:t xml:space="preserve">A </w:t>
      </w:r>
      <w:r w:rsidR="00380305">
        <w:t>“</w:t>
      </w:r>
      <w:r>
        <w:rPr>
          <w:b/>
          <w:bCs/>
          <w:color w:val="00188F"/>
        </w:rPr>
        <w:t>Percentagem de Período de Disponibilidade</w:t>
      </w:r>
      <w:r w:rsidR="00380305">
        <w:t>”</w:t>
      </w:r>
      <w:r>
        <w:t xml:space="preserve"> para um determinado Azure Route Server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50285029" w14:textId="77777777" w:rsidR="00A82CB1" w:rsidRPr="00EF7CF9" w:rsidRDefault="00A82CB1" w:rsidP="00F01ED6">
      <w:pPr>
        <w:pStyle w:val="ProductList-Body"/>
      </w:pPr>
    </w:p>
    <w:p w14:paraId="35981088" w14:textId="492FB761" w:rsidR="00A82CB1"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7224F44" w14:textId="77777777" w:rsidR="00A82CB1" w:rsidRPr="00A82CB1" w:rsidRDefault="00A82CB1" w:rsidP="00F01ED6">
      <w:pPr>
        <w:pStyle w:val="ProductList-Body"/>
        <w:rPr>
          <w:b/>
          <w:bCs/>
          <w:color w:val="00188F"/>
        </w:rPr>
      </w:pPr>
      <w:r>
        <w:rPr>
          <w:b/>
          <w:bCs/>
          <w:color w:val="00188F"/>
        </w:rPr>
        <w:t>Os seguintes Níveis de Serviço e Créditos de Serviço são aplicáveis à utilização de cada Azure Route Server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6A2B71" w14:textId="77777777" w:rsidR="00A82CB1" w:rsidRPr="005A3C16" w:rsidRDefault="00A82CB1" w:rsidP="00F01ED6">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F01ED6">
            <w:pPr>
              <w:pStyle w:val="ProductList-OfferingBody"/>
              <w:jc w:val="center"/>
            </w:pPr>
            <w:r>
              <w:t>&lt; 99,95%</w:t>
            </w:r>
          </w:p>
        </w:tc>
        <w:tc>
          <w:tcPr>
            <w:tcW w:w="5400" w:type="dxa"/>
          </w:tcPr>
          <w:p w14:paraId="1275BFAD" w14:textId="77777777" w:rsidR="00A82CB1" w:rsidRPr="005A3C16" w:rsidRDefault="00A82CB1" w:rsidP="00F01ED6">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F01ED6">
            <w:pPr>
              <w:pStyle w:val="ProductList-OfferingBody"/>
              <w:jc w:val="center"/>
            </w:pPr>
            <w:r>
              <w:t>&lt; 99%</w:t>
            </w:r>
          </w:p>
        </w:tc>
        <w:tc>
          <w:tcPr>
            <w:tcW w:w="5400" w:type="dxa"/>
          </w:tcPr>
          <w:p w14:paraId="1119D2E9" w14:textId="77777777" w:rsidR="00A82CB1" w:rsidRPr="005A3C16" w:rsidRDefault="00A82CB1" w:rsidP="00F01ED6">
            <w:pPr>
              <w:pStyle w:val="ProductList-OfferingBody"/>
              <w:jc w:val="center"/>
            </w:pPr>
            <w:r>
              <w:t>25%</w:t>
            </w:r>
          </w:p>
        </w:tc>
      </w:tr>
    </w:tbl>
    <w:bookmarkStart w:id="353" w:name="_Toc510793702"/>
    <w:bookmarkStart w:id="354" w:name="_Toc52348978"/>
    <w:p w14:paraId="60993F14"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CD3C75" w14:textId="77777777" w:rsidR="00745257" w:rsidRDefault="00745257" w:rsidP="00840862">
      <w:pPr>
        <w:pStyle w:val="ProductList-Offering2Heading"/>
        <w:keepNext/>
        <w:tabs>
          <w:tab w:val="clear" w:pos="360"/>
          <w:tab w:val="clear" w:pos="720"/>
          <w:tab w:val="clear" w:pos="1080"/>
        </w:tabs>
        <w:outlineLvl w:val="2"/>
      </w:pPr>
      <w:bookmarkStart w:id="355" w:name="_Toc182409713"/>
      <w:r>
        <w:t>SAP HANA em Grandes Instâncias do Azure</w:t>
      </w:r>
      <w:bookmarkEnd w:id="355"/>
    </w:p>
    <w:p w14:paraId="54953FF3" w14:textId="77777777" w:rsidR="00745257" w:rsidRPr="00957253" w:rsidRDefault="00745257" w:rsidP="00745257">
      <w:pPr>
        <w:pStyle w:val="ProductList-Body"/>
        <w:rPr>
          <w:rFonts w:cstheme="minorHAnsi"/>
          <w:szCs w:val="18"/>
        </w:rPr>
      </w:pPr>
      <w:r w:rsidRPr="00957253">
        <w:rPr>
          <w:rFonts w:cstheme="minorHAnsi"/>
          <w:b/>
          <w:color w:val="00188F"/>
          <w:szCs w:val="18"/>
        </w:rPr>
        <w:t>Definições Adicionais</w:t>
      </w:r>
      <w:r w:rsidRPr="00473DD3">
        <w:rPr>
          <w:rFonts w:cstheme="minorHAnsi"/>
          <w:b/>
          <w:color w:val="00188F"/>
          <w:szCs w:val="18"/>
        </w:rPr>
        <w:t>:</w:t>
      </w:r>
    </w:p>
    <w:p w14:paraId="7CC3393F"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Manutenção da Instância Única Anunciada</w:t>
      </w:r>
      <w:r>
        <w:rPr>
          <w:rFonts w:cstheme="minorHAnsi"/>
          <w:sz w:val="18"/>
          <w:szCs w:val="18"/>
        </w:rPr>
        <w:t>”</w:t>
      </w:r>
      <w:r w:rsidRPr="00957253">
        <w:rPr>
          <w:rFonts w:cstheme="minorHAnsi"/>
          <w:sz w:val="18"/>
          <w:szCs w:val="18"/>
        </w:rPr>
        <w:t xml:space="preserve"> designa os períodos de Período de Indisponibilidade relacionados com as atualizações de rede ou a</w:t>
      </w:r>
      <w:r>
        <w:rPr>
          <w:rFonts w:cstheme="minorHAnsi"/>
          <w:sz w:val="18"/>
          <w:szCs w:val="18"/>
        </w:rPr>
        <w:t> </w:t>
      </w:r>
      <w:r w:rsidRPr="00957253">
        <w:rPr>
          <w:rFonts w:cstheme="minorHAnsi"/>
          <w:sz w:val="18"/>
          <w:szCs w:val="18"/>
        </w:rPr>
        <w:t>manutenção da rede, do hardware ou do Serviço que têm impacto nas Instâncias Únicas. A Microsoft publicará uma notificação ou notificará o</w:t>
      </w:r>
      <w:r>
        <w:rPr>
          <w:rFonts w:cstheme="minorHAnsi"/>
          <w:sz w:val="18"/>
          <w:szCs w:val="18"/>
        </w:rPr>
        <w:t> </w:t>
      </w:r>
      <w:r w:rsidRPr="00957253">
        <w:rPr>
          <w:rFonts w:cstheme="minorHAnsi"/>
          <w:sz w:val="18"/>
          <w:szCs w:val="18"/>
        </w:rPr>
        <w:t>Cliente pelo menos cinco (5) dias antes do início desse Período de Indisponibilidade.</w:t>
      </w:r>
    </w:p>
    <w:p w14:paraId="68781C45"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Par de Elevada Disponibilidade</w:t>
      </w:r>
      <w:r>
        <w:rPr>
          <w:rFonts w:cstheme="minorHAnsi"/>
          <w:sz w:val="18"/>
          <w:szCs w:val="18"/>
        </w:rPr>
        <w:t>”</w:t>
      </w:r>
      <w:r w:rsidRPr="00957253">
        <w:rPr>
          <w:rFonts w:cstheme="minorHAnsi"/>
          <w:sz w:val="18"/>
          <w:szCs w:val="18"/>
        </w:rPr>
        <w:t xml:space="preserve"> 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62E182F8"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Conectividade do SAP HANA</w:t>
      </w:r>
      <w:r>
        <w:rPr>
          <w:rFonts w:cstheme="minorHAnsi"/>
          <w:sz w:val="18"/>
          <w:szCs w:val="18"/>
        </w:rPr>
        <w:t>”</w:t>
      </w:r>
      <w:r w:rsidRPr="00957253">
        <w:rPr>
          <w:rFonts w:cstheme="minorHAnsi"/>
          <w:sz w:val="18"/>
          <w:szCs w:val="18"/>
        </w:rPr>
        <w:t xml:space="preserve"> no Azure 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006A4042" w14:textId="77777777" w:rsidR="00745257" w:rsidRPr="00957253" w:rsidRDefault="00745257" w:rsidP="00745257">
      <w:pPr>
        <w:spacing w:after="0" w:line="240" w:lineRule="auto"/>
        <w:rPr>
          <w:rFonts w:cstheme="minorHAnsi"/>
          <w:sz w:val="18"/>
          <w:szCs w:val="18"/>
        </w:rPr>
      </w:pPr>
      <w:r w:rsidRPr="00957253">
        <w:rPr>
          <w:rFonts w:cstheme="minorHAnsi"/>
          <w:sz w:val="18"/>
          <w:szCs w:val="18"/>
        </w:rPr>
        <w:t xml:space="preserve">A </w:t>
      </w:r>
      <w:r>
        <w:rPr>
          <w:rFonts w:cstheme="minorHAnsi"/>
          <w:sz w:val="18"/>
          <w:szCs w:val="18"/>
        </w:rPr>
        <w:t>“</w:t>
      </w:r>
      <w:r w:rsidRPr="00957253">
        <w:rPr>
          <w:rFonts w:cstheme="minorHAnsi"/>
          <w:b/>
          <w:color w:val="00188F"/>
          <w:sz w:val="18"/>
          <w:szCs w:val="18"/>
        </w:rPr>
        <w:t>Instância Única</w:t>
      </w:r>
      <w:r>
        <w:rPr>
          <w:rFonts w:cstheme="minorHAnsi"/>
          <w:sz w:val="18"/>
          <w:szCs w:val="18"/>
        </w:rPr>
        <w:t>”</w:t>
      </w:r>
      <w:r w:rsidRPr="00957253">
        <w:rPr>
          <w:rFonts w:cstheme="minorHAnsi"/>
          <w:sz w:val="18"/>
          <w:szCs w:val="18"/>
        </w:rPr>
        <w:t xml:space="preserve"> é definida como qualquer máquina da Instância de Grande Dimensão do Microsoft SAP HANA no Azure que não esteja implementada num Par de Elevada Disponibilidade.</w:t>
      </w:r>
    </w:p>
    <w:p w14:paraId="53D07323" w14:textId="77777777" w:rsidR="00745257" w:rsidRPr="00522FF8" w:rsidRDefault="00745257" w:rsidP="00745257">
      <w:pPr>
        <w:spacing w:after="0" w:line="240" w:lineRule="auto"/>
        <w:rPr>
          <w:b/>
          <w:color w:val="00188F"/>
          <w:sz w:val="18"/>
        </w:rPr>
      </w:pPr>
      <w:r>
        <w:rPr>
          <w:b/>
          <w:color w:val="00188F"/>
          <w:sz w:val="18"/>
        </w:rPr>
        <w:t>Cálculo do Período de Disponibilidade e Níveis de Serviço para o Par de Elevada Disponibilidade do SAP HANA no Azure</w:t>
      </w:r>
    </w:p>
    <w:p w14:paraId="7EDDEB0D" w14:textId="77777777" w:rsidR="00745257" w:rsidRPr="0069715D" w:rsidRDefault="00745257" w:rsidP="00745257">
      <w:pPr>
        <w:spacing w:after="0" w:line="240" w:lineRule="auto"/>
        <w:ind w:left="720"/>
        <w:rPr>
          <w:sz w:val="18"/>
        </w:rPr>
      </w:pPr>
      <w:r>
        <w:rPr>
          <w:sz w:val="18"/>
        </w:rPr>
        <w:t>“</w:t>
      </w:r>
      <w:r>
        <w:rPr>
          <w:b/>
          <w:color w:val="0072C6"/>
          <w:sz w:val="18"/>
        </w:rPr>
        <w:t>Máximo de Minutos Disponíveis</w:t>
      </w:r>
      <w:r>
        <w:rPr>
          <w:sz w:val="18"/>
        </w:rPr>
        <w:t>”</w:t>
      </w:r>
      <w:r>
        <w:rPr>
          <w:sz w:val="18"/>
          <w:szCs w:val="18"/>
        </w:rPr>
        <w:t xml:space="preserve"> </w:t>
      </w:r>
      <w:r>
        <w:rPr>
          <w:sz w:val="18"/>
        </w:rPr>
        <w:t>designa o total de minutos acumulados durante um Período Aplicável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228F5872" w14:textId="77777777" w:rsidR="00745257" w:rsidRPr="0069715D" w:rsidRDefault="00745257" w:rsidP="00745257">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7040D7AA" w14:textId="77777777" w:rsidR="00745257" w:rsidRDefault="00745257" w:rsidP="00745257">
      <w:pPr>
        <w:pStyle w:val="ProductList-Body"/>
        <w:ind w:left="720"/>
      </w:pPr>
      <w:r>
        <w:rPr>
          <w:b/>
          <w:color w:val="0072C6"/>
        </w:rPr>
        <w:t>Percentagem de Período de Disponibilidade</w:t>
      </w:r>
      <w:r w:rsidRPr="00473DD3">
        <w:rPr>
          <w:b/>
          <w:color w:val="0072C6"/>
        </w:rPr>
        <w:t>:</w:t>
      </w:r>
      <w:r>
        <w:t xml:space="preserve"> A Percentagem de Período de Disponibilidade para o Par de Elevada Disponibilidade do SAP HANA no Azure é calculada com a seguinte fórmula:</w:t>
      </w:r>
    </w:p>
    <w:p w14:paraId="088AF19E" w14:textId="77777777" w:rsidR="00745257" w:rsidRDefault="00745257" w:rsidP="00745257">
      <w:pPr>
        <w:pStyle w:val="ProductList-Body"/>
      </w:pPr>
    </w:p>
    <w:p w14:paraId="64951CAF" w14:textId="77777777" w:rsidR="00745257" w:rsidRPr="000A6233" w:rsidRDefault="00000000" w:rsidP="000A6233">
      <w:pPr>
        <w:pStyle w:val="ListParagraph"/>
        <w:spacing w:line="240" w:lineRule="auto"/>
        <w:ind w:left="144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AE2B66" w14:textId="77777777" w:rsidR="000A6233" w:rsidRDefault="000A6233" w:rsidP="000A6233">
      <w:pPr>
        <w:pStyle w:val="ProductList-Body"/>
        <w:keepNext/>
        <w:keepLines/>
        <w:ind w:left="720"/>
      </w:pPr>
      <w:r>
        <w:rPr>
          <w:b/>
          <w:color w:val="00188F"/>
        </w:rPr>
        <w:t>Crédito de Serviço para o Par de Elevada Disponibilidade do SAP HANA no Azure</w:t>
      </w:r>
      <w:r w:rsidRPr="00473DD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0A6233" w:rsidRPr="00B44CF9" w14:paraId="329A53D7" w14:textId="77777777" w:rsidTr="006F6E13">
        <w:trPr>
          <w:trHeight w:val="235"/>
          <w:tblHeader/>
        </w:trPr>
        <w:tc>
          <w:tcPr>
            <w:tcW w:w="5040" w:type="dxa"/>
            <w:shd w:val="clear" w:color="auto" w:fill="0072C6"/>
          </w:tcPr>
          <w:p w14:paraId="26C3953D" w14:textId="77777777" w:rsidR="000A6233" w:rsidRPr="001A0074"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shd w:val="clear" w:color="auto" w:fill="0072C6"/>
          </w:tcPr>
          <w:p w14:paraId="38410CF1" w14:textId="77777777" w:rsidR="000A6233" w:rsidRPr="001A0074"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638CDDC5" w14:textId="77777777" w:rsidTr="006F6E13">
        <w:trPr>
          <w:trHeight w:val="235"/>
        </w:trPr>
        <w:tc>
          <w:tcPr>
            <w:tcW w:w="5040" w:type="dxa"/>
          </w:tcPr>
          <w:p w14:paraId="658F3439" w14:textId="77777777" w:rsidR="000A6233" w:rsidRPr="0076238C" w:rsidRDefault="000A6233" w:rsidP="006F6E13">
            <w:pPr>
              <w:pStyle w:val="ProductList-OfferingBody"/>
              <w:jc w:val="center"/>
            </w:pPr>
            <w:r>
              <w:t>&lt; 99,99%</w:t>
            </w:r>
          </w:p>
        </w:tc>
        <w:tc>
          <w:tcPr>
            <w:tcW w:w="4950" w:type="dxa"/>
          </w:tcPr>
          <w:p w14:paraId="41D355BC" w14:textId="77777777" w:rsidR="000A6233" w:rsidRPr="0076238C" w:rsidRDefault="000A6233" w:rsidP="006F6E13">
            <w:pPr>
              <w:pStyle w:val="ProductList-OfferingBody"/>
              <w:jc w:val="center"/>
            </w:pPr>
            <w:r>
              <w:t>10%</w:t>
            </w:r>
          </w:p>
        </w:tc>
      </w:tr>
      <w:tr w:rsidR="000A6233" w:rsidRPr="00B44CF9" w14:paraId="6616EDF0" w14:textId="77777777" w:rsidTr="006F6E13">
        <w:trPr>
          <w:trHeight w:val="236"/>
        </w:trPr>
        <w:tc>
          <w:tcPr>
            <w:tcW w:w="5040" w:type="dxa"/>
          </w:tcPr>
          <w:p w14:paraId="2E24AB8E" w14:textId="77777777" w:rsidR="000A6233" w:rsidRPr="0076238C" w:rsidRDefault="000A6233" w:rsidP="006F6E13">
            <w:pPr>
              <w:pStyle w:val="ProductList-OfferingBody"/>
              <w:jc w:val="center"/>
            </w:pPr>
            <w:r>
              <w:t>&lt; 99,9%</w:t>
            </w:r>
          </w:p>
        </w:tc>
        <w:tc>
          <w:tcPr>
            <w:tcW w:w="4950" w:type="dxa"/>
          </w:tcPr>
          <w:p w14:paraId="4FD62A05" w14:textId="77777777" w:rsidR="000A6233" w:rsidRPr="0076238C" w:rsidRDefault="000A6233" w:rsidP="006F6E13">
            <w:pPr>
              <w:pStyle w:val="ProductList-OfferingBody"/>
              <w:jc w:val="center"/>
            </w:pPr>
            <w:r>
              <w:t>25%</w:t>
            </w:r>
          </w:p>
        </w:tc>
      </w:tr>
    </w:tbl>
    <w:p w14:paraId="18B2EE26" w14:textId="77777777" w:rsidR="000A6233" w:rsidRPr="00F60A8A" w:rsidRDefault="000A6233" w:rsidP="000A6233">
      <w:pPr>
        <w:spacing w:before="120" w:after="0" w:line="240" w:lineRule="auto"/>
        <w:rPr>
          <w:b/>
          <w:color w:val="00188F"/>
          <w:sz w:val="18"/>
        </w:rPr>
      </w:pPr>
      <w:r>
        <w:rPr>
          <w:b/>
          <w:color w:val="00188F"/>
          <w:sz w:val="18"/>
        </w:rPr>
        <w:t>Cálculo do Período de Disponibilidade e Níveis de Serviço para a Instância Única do SAP HANA no Azure</w:t>
      </w:r>
    </w:p>
    <w:p w14:paraId="2366F91B" w14:textId="77777777" w:rsidR="000A6233" w:rsidRDefault="000A6233" w:rsidP="000A6233">
      <w:pPr>
        <w:spacing w:after="0" w:line="240" w:lineRule="auto"/>
        <w:ind w:left="720"/>
        <w:rPr>
          <w:sz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Período Aplicável, para uma determinada subscrição do Microsoft Azure. </w:t>
      </w:r>
    </w:p>
    <w:p w14:paraId="406F375B" w14:textId="77777777" w:rsidR="000A6233" w:rsidRDefault="000A6233" w:rsidP="000A6233">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 O Período de Indisponibilidade exclui a Manutenção da Instância Única Anunciada.</w:t>
      </w:r>
    </w:p>
    <w:p w14:paraId="05AB80E5" w14:textId="77777777" w:rsidR="000A6233" w:rsidRDefault="000A6233" w:rsidP="000A6233">
      <w:pPr>
        <w:spacing w:after="0" w:line="240" w:lineRule="auto"/>
        <w:ind w:left="720"/>
        <w:rPr>
          <w:sz w:val="18"/>
        </w:rPr>
      </w:pPr>
      <w:r>
        <w:rPr>
          <w:b/>
          <w:color w:val="0072C6"/>
          <w:sz w:val="18"/>
        </w:rPr>
        <w:t>Percentagem de Período de Disponibilidade</w:t>
      </w:r>
      <w:r>
        <w:rPr>
          <w:b/>
          <w:color w:val="00188F"/>
          <w:sz w:val="18"/>
        </w:rPr>
        <w:t>:</w:t>
      </w:r>
      <w:r>
        <w:rPr>
          <w:sz w:val="18"/>
        </w:rPr>
        <w:t xml:space="preserve"> A Percentagem de Período de Disponibilidade para a Instância Única do SAP HANA no Azure é calculada com a seguinte fórmula</w:t>
      </w:r>
    </w:p>
    <w:p w14:paraId="1F7C74B6" w14:textId="77777777" w:rsidR="000A6233" w:rsidRPr="00593E99" w:rsidRDefault="000A6233" w:rsidP="000A6233">
      <w:pPr>
        <w:spacing w:after="0" w:line="240" w:lineRule="auto"/>
        <w:ind w:left="720"/>
        <w:rPr>
          <w:sz w:val="12"/>
          <w:szCs w:val="12"/>
        </w:rPr>
      </w:pPr>
    </w:p>
    <w:p w14:paraId="04962158" w14:textId="77777777" w:rsidR="000A6233" w:rsidRDefault="00000000" w:rsidP="000A6233">
      <w:pPr>
        <w:pStyle w:val="ListParagraph"/>
        <w:spacing w:line="240" w:lineRule="auto"/>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89DB6D" w14:textId="77777777" w:rsidR="000A6233" w:rsidRPr="00957253" w:rsidRDefault="000A6233" w:rsidP="000A6233">
      <w:pPr>
        <w:spacing w:after="0" w:line="240" w:lineRule="auto"/>
        <w:ind w:left="720"/>
        <w:rPr>
          <w:spacing w:val="-2"/>
          <w:sz w:val="18"/>
        </w:rPr>
      </w:pPr>
      <w:r w:rsidRPr="001B0E4C">
        <w:rPr>
          <w:b/>
          <w:color w:val="00188F"/>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0A6233" w:rsidRPr="00B44CF9" w14:paraId="4F34B03E" w14:textId="77777777" w:rsidTr="006F6E1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B3AFC0" w14:textId="77777777" w:rsidR="000A6233"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6A39B5" w14:textId="77777777" w:rsidR="000A6233"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5A724907" w14:textId="77777777" w:rsidTr="006F6E1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A0C0C" w14:textId="77777777" w:rsidR="000A6233" w:rsidRDefault="000A6233" w:rsidP="006F6E13">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CF3D0" w14:textId="77777777" w:rsidR="000A6233" w:rsidRDefault="000A6233" w:rsidP="006F6E13">
            <w:pPr>
              <w:pStyle w:val="ProductList-OfferingBody"/>
              <w:jc w:val="center"/>
            </w:pPr>
            <w:r>
              <w:t>10%</w:t>
            </w:r>
          </w:p>
        </w:tc>
      </w:tr>
      <w:tr w:rsidR="000A6233" w:rsidRPr="00B44CF9" w14:paraId="1E94187D"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882E8" w14:textId="77777777" w:rsidR="000A6233" w:rsidRDefault="000A6233" w:rsidP="006F6E13">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2F7AA" w14:textId="77777777" w:rsidR="000A6233" w:rsidRDefault="000A6233" w:rsidP="006F6E13">
            <w:pPr>
              <w:pStyle w:val="ProductList-OfferingBody"/>
              <w:jc w:val="center"/>
            </w:pPr>
            <w:r>
              <w:t>25%</w:t>
            </w:r>
          </w:p>
        </w:tc>
      </w:tr>
      <w:tr w:rsidR="000A6233" w:rsidRPr="00B44CF9" w14:paraId="01ED675C"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442F" w14:textId="77777777" w:rsidR="000A6233" w:rsidRDefault="000A6233" w:rsidP="006F6E13">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09192" w14:textId="77777777" w:rsidR="000A6233" w:rsidRDefault="000A6233" w:rsidP="006F6E13">
            <w:pPr>
              <w:pStyle w:val="ProductList-OfferingBody"/>
              <w:jc w:val="center"/>
            </w:pPr>
            <w:r>
              <w:t>100%</w:t>
            </w:r>
          </w:p>
        </w:tc>
      </w:tr>
    </w:tbl>
    <w:bookmarkStart w:id="356" w:name="_Toc457821569"/>
    <w:bookmarkStart w:id="357" w:name="_Toc52348979"/>
    <w:p w14:paraId="0BA2D552"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E544E" w14:textId="77777777" w:rsidR="000A6233" w:rsidRPr="00EF7CF9" w:rsidRDefault="000A6233" w:rsidP="000A6233">
      <w:pPr>
        <w:pStyle w:val="ProductList-Offering2Heading"/>
        <w:keepNext/>
        <w:keepLines/>
        <w:tabs>
          <w:tab w:val="clear" w:pos="360"/>
          <w:tab w:val="clear" w:pos="720"/>
          <w:tab w:val="clear" w:pos="1080"/>
        </w:tabs>
        <w:outlineLvl w:val="2"/>
      </w:pPr>
      <w:bookmarkStart w:id="358" w:name="_Toc182409714"/>
      <w:r>
        <w:t>Scheduler</w:t>
      </w:r>
      <w:bookmarkEnd w:id="356"/>
      <w:bookmarkEnd w:id="357"/>
      <w:bookmarkEnd w:id="358"/>
    </w:p>
    <w:p w14:paraId="6C54F091" w14:textId="77777777" w:rsidR="000A6233" w:rsidRPr="00EF7CF9" w:rsidRDefault="000A6233" w:rsidP="000A6233">
      <w:pPr>
        <w:pStyle w:val="ProductList-Body"/>
        <w:keepNext/>
        <w:keepLines/>
      </w:pPr>
      <w:r>
        <w:rPr>
          <w:b/>
          <w:color w:val="00188F"/>
        </w:rPr>
        <w:t>Definições Adicionais</w:t>
      </w:r>
      <w:r w:rsidRPr="00473DD3">
        <w:rPr>
          <w:b/>
          <w:color w:val="00188F"/>
        </w:rPr>
        <w:t>:</w:t>
      </w:r>
    </w:p>
    <w:p w14:paraId="119DDD20" w14:textId="77777777" w:rsidR="000A6233" w:rsidRPr="00EF7CF9" w:rsidRDefault="000A6233" w:rsidP="000A6233">
      <w:pPr>
        <w:pStyle w:val="ProductList-Body"/>
        <w:keepNext/>
        <w:keepLines/>
      </w:pPr>
      <w:r>
        <w:t>“</w:t>
      </w:r>
      <w:r>
        <w:rPr>
          <w:b/>
          <w:color w:val="00188F"/>
        </w:rPr>
        <w:t>Máximo de Minutos Disponíveis</w:t>
      </w:r>
      <w:r>
        <w:t>” designa o número total de minutos num Período Aplicável.</w:t>
      </w:r>
    </w:p>
    <w:p w14:paraId="7038C2B4" w14:textId="77777777" w:rsidR="000A6233" w:rsidRPr="00EF7CF9" w:rsidRDefault="000A6233" w:rsidP="000A6233">
      <w:pPr>
        <w:pStyle w:val="ProductList-Body"/>
        <w:keepNext/>
        <w:keepLines/>
      </w:pPr>
      <w:r>
        <w:t>A “</w:t>
      </w:r>
      <w:r>
        <w:rPr>
          <w:b/>
          <w:color w:val="00188F"/>
        </w:rPr>
        <w:t>Hora de Execução Planeada</w:t>
      </w:r>
      <w:r>
        <w:t>” é a hora a que uma Tarefa Agendada está agendada para iniciar a execução.</w:t>
      </w:r>
    </w:p>
    <w:p w14:paraId="4C92686E" w14:textId="77777777" w:rsidR="000A6233" w:rsidRPr="00EF7CF9" w:rsidRDefault="000A6233" w:rsidP="000A6233">
      <w:pPr>
        <w:pStyle w:val="ProductList-Body"/>
      </w:pPr>
      <w:r>
        <w:t>“</w:t>
      </w:r>
      <w:r>
        <w:rPr>
          <w:b/>
          <w:color w:val="00188F"/>
        </w:rPr>
        <w:t>Tarefa Agendada</w:t>
      </w:r>
      <w:r>
        <w:t>” designa uma ação especificada pelo Cliente para ser executada no Microsoft Azure de acordo com uma agenda especificada.</w:t>
      </w:r>
    </w:p>
    <w:p w14:paraId="27BD1350" w14:textId="77777777" w:rsidR="000A6233" w:rsidRPr="00EF7CF9" w:rsidRDefault="000A6233" w:rsidP="000A6233">
      <w:pPr>
        <w:pStyle w:val="ProductList-Body"/>
      </w:pPr>
      <w:r>
        <w:rPr>
          <w:b/>
          <w:color w:val="00188F"/>
        </w:rPr>
        <w:t>Período de Indisponibilidade</w:t>
      </w:r>
      <w:r w:rsidRPr="00473DD3">
        <w:rPr>
          <w:b/>
          <w:color w:val="00188F"/>
        </w:rPr>
        <w:t>:</w:t>
      </w:r>
      <w:r>
        <w:t xml:space="preserve"> O total de minutos acumulados num Período Aplicável durante 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Período de Indisponibilidade caso a Tarefa Agendada comece a execução num prazo de trinta (30) minutos a seguir a uma Hora de Execução Planeada.</w:t>
      </w:r>
    </w:p>
    <w:p w14:paraId="1B9AA541" w14:textId="77777777" w:rsidR="000A6233" w:rsidRPr="00EF7CF9" w:rsidRDefault="000A6233" w:rsidP="000A6233">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6C26324" w14:textId="77777777" w:rsidR="000A6233" w:rsidRPr="00EF7CF9" w:rsidRDefault="000A6233" w:rsidP="000A6233">
      <w:pPr>
        <w:pStyle w:val="ProductList-Body"/>
      </w:pPr>
    </w:p>
    <w:p w14:paraId="3A621C38" w14:textId="77777777" w:rsidR="000A6233" w:rsidRPr="00EF7CF9" w:rsidRDefault="00000000" w:rsidP="000A6233">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E15666" w14:textId="77777777" w:rsidR="000A6233" w:rsidRPr="00EF7CF9" w:rsidRDefault="000A6233" w:rsidP="001B0E4C">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6233" w:rsidRPr="00B44CF9" w14:paraId="279350FD" w14:textId="77777777" w:rsidTr="006F6E13">
        <w:trPr>
          <w:tblHeader/>
        </w:trPr>
        <w:tc>
          <w:tcPr>
            <w:tcW w:w="5400" w:type="dxa"/>
            <w:shd w:val="clear" w:color="auto" w:fill="0072C6"/>
          </w:tcPr>
          <w:p w14:paraId="3FBC80E3" w14:textId="77777777" w:rsidR="000A6233" w:rsidRPr="00EF7CF9" w:rsidRDefault="000A6233"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A96BA4" w14:textId="77777777" w:rsidR="000A6233" w:rsidRPr="00EF7CF9"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79216E0E" w14:textId="77777777" w:rsidTr="006F6E13">
        <w:tc>
          <w:tcPr>
            <w:tcW w:w="5400" w:type="dxa"/>
          </w:tcPr>
          <w:p w14:paraId="5996CEA7" w14:textId="77777777" w:rsidR="000A6233" w:rsidRPr="00EF7CF9" w:rsidRDefault="000A6233" w:rsidP="006F6E13">
            <w:pPr>
              <w:pStyle w:val="ProductList-OfferingBody"/>
              <w:jc w:val="center"/>
            </w:pPr>
            <w:r>
              <w:t>&lt; 99,9%</w:t>
            </w:r>
          </w:p>
        </w:tc>
        <w:tc>
          <w:tcPr>
            <w:tcW w:w="5400" w:type="dxa"/>
          </w:tcPr>
          <w:p w14:paraId="0982C738" w14:textId="77777777" w:rsidR="000A6233" w:rsidRPr="00EF7CF9" w:rsidRDefault="000A6233" w:rsidP="006F6E13">
            <w:pPr>
              <w:pStyle w:val="ProductList-OfferingBody"/>
              <w:jc w:val="center"/>
            </w:pPr>
            <w:r>
              <w:t>10%</w:t>
            </w:r>
          </w:p>
        </w:tc>
      </w:tr>
      <w:tr w:rsidR="000A6233" w:rsidRPr="00B44CF9" w14:paraId="02D5381F" w14:textId="77777777" w:rsidTr="006F6E13">
        <w:tc>
          <w:tcPr>
            <w:tcW w:w="5400" w:type="dxa"/>
          </w:tcPr>
          <w:p w14:paraId="12881091" w14:textId="77777777" w:rsidR="000A6233" w:rsidRPr="00EF7CF9" w:rsidRDefault="000A6233" w:rsidP="006F6E13">
            <w:pPr>
              <w:pStyle w:val="ProductList-OfferingBody"/>
              <w:jc w:val="center"/>
            </w:pPr>
            <w:r>
              <w:t>&lt; 99%</w:t>
            </w:r>
          </w:p>
        </w:tc>
        <w:tc>
          <w:tcPr>
            <w:tcW w:w="5400" w:type="dxa"/>
          </w:tcPr>
          <w:p w14:paraId="08F0395C" w14:textId="77777777" w:rsidR="000A6233" w:rsidRPr="00EF7CF9" w:rsidRDefault="000A6233" w:rsidP="006F6E13">
            <w:pPr>
              <w:pStyle w:val="ProductList-OfferingBody"/>
              <w:jc w:val="center"/>
            </w:pPr>
            <w:r>
              <w:t>25%</w:t>
            </w:r>
          </w:p>
        </w:tc>
      </w:tr>
    </w:tbl>
    <w:p w14:paraId="48D6AB7E"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551E196" w14:textId="5F3D7988" w:rsidR="008A01B3" w:rsidRPr="00EF7CF9" w:rsidRDefault="008A01B3" w:rsidP="00F01ED6">
      <w:pPr>
        <w:pStyle w:val="ProductList-Offering2Heading"/>
        <w:tabs>
          <w:tab w:val="clear" w:pos="360"/>
          <w:tab w:val="clear" w:pos="720"/>
          <w:tab w:val="clear" w:pos="1080"/>
        </w:tabs>
        <w:outlineLvl w:val="2"/>
      </w:pPr>
      <w:bookmarkStart w:id="359" w:name="_Toc457821574"/>
      <w:bookmarkStart w:id="360" w:name="_Toc52348984"/>
      <w:bookmarkStart w:id="361" w:name="_Toc182409715"/>
      <w:bookmarkStart w:id="362" w:name="ServiceBusServiceRelays"/>
      <w:bookmarkEnd w:id="353"/>
      <w:bookmarkEnd w:id="354"/>
      <w:r>
        <w:t>Barramento de Serviço</w:t>
      </w:r>
      <w:bookmarkEnd w:id="359"/>
      <w:bookmarkEnd w:id="360"/>
      <w:bookmarkEnd w:id="361"/>
    </w:p>
    <w:bookmarkEnd w:id="362"/>
    <w:p w14:paraId="0147F982" w14:textId="77777777" w:rsidR="008A01B3" w:rsidRPr="00EF7CF9" w:rsidRDefault="008A01B3" w:rsidP="00F01ED6">
      <w:pPr>
        <w:pStyle w:val="ProductList-Body"/>
      </w:pPr>
      <w:r>
        <w:rPr>
          <w:b/>
          <w:color w:val="00188F"/>
        </w:rPr>
        <w:t>Definições Adicionais</w:t>
      </w:r>
      <w:r w:rsidRPr="00473DD3">
        <w:rPr>
          <w:b/>
          <w:color w:val="00188F"/>
        </w:rPr>
        <w:t>:</w:t>
      </w:r>
    </w:p>
    <w:p w14:paraId="0FB8ACC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bookmarkStart w:id="363" w:name="_Toc526859711"/>
      <w:bookmarkStart w:id="364" w:name="_Toc52348985"/>
      <w:bookmarkStart w:id="365" w:name="_Toc457821577"/>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Mensagem</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qualquer conteúdo definido pelo utilizador que seja enviado ou recebido através de Reencaminhamentos de Barramento de Serviço, Filas ou Tópicos e que utilize qualquer protocolo suportado pelo Barramento de Serviço.</w:t>
      </w:r>
    </w:p>
    <w:p w14:paraId="3ACA012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5E3044">
        <w:rPr>
          <w:rFonts w:ascii="Calibri" w:eastAsia="Calibri" w:hAnsi="Calibri" w:cs="Arial"/>
          <w:sz w:val="18"/>
        </w:rPr>
        <w:t xml:space="preserve">Os </w:t>
      </w: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Espaços de Nomes Particionados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permite que as entidades de mensagens sejam divididas entre vários mediadores de mensagens para aumentar o débito global.</w:t>
      </w:r>
    </w:p>
    <w:p w14:paraId="7299FB7E" w14:textId="77777777" w:rsidR="00BD46E6"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Zona de Disponibilidade</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uma área isolada de falhas numa região do Azure que providencia alimentação, refrigeração e rede redundantes.</w:t>
      </w:r>
    </w:p>
    <w:p w14:paraId="7DCB951B" w14:textId="77777777" w:rsidR="008B030A" w:rsidRPr="00202E1D" w:rsidRDefault="008B030A" w:rsidP="008B030A">
      <w:pPr>
        <w:keepNext/>
        <w:spacing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Filas e Tópicos em todas as camadas implementadas sem espaços de nomes particionados</w:t>
      </w:r>
    </w:p>
    <w:p w14:paraId="06242991" w14:textId="77777777" w:rsidR="008B030A" w:rsidRPr="00202E1D" w:rsidRDefault="008B030A" w:rsidP="008B030A">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4E7AFCF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5F465F6C"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29C7A31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AC7FED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15898B3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58AEFE38"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color w:val="000000"/>
          <w:sz w:val="12"/>
          <w:szCs w:val="12"/>
        </w:rPr>
      </w:pPr>
    </w:p>
    <w:p w14:paraId="4C5B957E"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82D2DF"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b/>
          <w:color w:val="00188F"/>
          <w:sz w:val="12"/>
          <w:szCs w:val="12"/>
        </w:rPr>
      </w:pPr>
    </w:p>
    <w:p w14:paraId="65E0958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em todas as camadas implementadas sem espaços de nomes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5E60380D" w14:textId="77777777" w:rsidTr="00995E56">
        <w:trPr>
          <w:tblHeader/>
        </w:trPr>
        <w:tc>
          <w:tcPr>
            <w:tcW w:w="5400" w:type="dxa"/>
            <w:shd w:val="clear" w:color="auto" w:fill="0072C6"/>
          </w:tcPr>
          <w:p w14:paraId="73D4E75B"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49BC784F"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52E389B0" w14:textId="77777777" w:rsidTr="00995E56">
        <w:tc>
          <w:tcPr>
            <w:tcW w:w="5400" w:type="dxa"/>
          </w:tcPr>
          <w:p w14:paraId="2C534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6E634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0071BE5" w14:textId="77777777" w:rsidTr="00995E56">
        <w:tc>
          <w:tcPr>
            <w:tcW w:w="5400" w:type="dxa"/>
          </w:tcPr>
          <w:p w14:paraId="7E25F82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1AEF55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BC5DB63" w14:textId="77777777" w:rsidR="00BD46E6" w:rsidRPr="00202E1D" w:rsidRDefault="00BD46E6" w:rsidP="004A385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Cálculo do Período de Disponibilidade e Níveis de Serviço para Filas e Tópicos na camada Premium implementados com espaços de nomes particionados em regiões com suporte da Zona de Disponibilidade</w:t>
      </w:r>
    </w:p>
    <w:p w14:paraId="607E2B79" w14:textId="77777777" w:rsidR="00BD46E6" w:rsidRPr="00202E1D" w:rsidRDefault="00BD46E6" w:rsidP="00BD46E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6356A582"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0E18634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58A5D969"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D926E9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25A91103"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61FE73A2"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color w:val="000000"/>
          <w:sz w:val="12"/>
          <w:szCs w:val="12"/>
        </w:rPr>
      </w:pPr>
    </w:p>
    <w:p w14:paraId="79A6FBFE"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1E3FEE"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b/>
          <w:bCs/>
          <w:color w:val="00188F"/>
          <w:sz w:val="12"/>
          <w:szCs w:val="12"/>
        </w:rPr>
      </w:pPr>
    </w:p>
    <w:p w14:paraId="21873C4B"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na camada Premium implementada com espaços de nomes particionados em regiões com suporte de Zona de Disponibilidade</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1E193B8" w14:textId="77777777" w:rsidTr="00995E56">
        <w:trPr>
          <w:tblHeader/>
        </w:trPr>
        <w:tc>
          <w:tcPr>
            <w:tcW w:w="5400" w:type="dxa"/>
            <w:shd w:val="clear" w:color="auto" w:fill="0072C6"/>
          </w:tcPr>
          <w:p w14:paraId="5C20D0E0"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1FA1416"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6101A9E3" w14:textId="77777777" w:rsidTr="00995E56">
        <w:tc>
          <w:tcPr>
            <w:tcW w:w="5400" w:type="dxa"/>
          </w:tcPr>
          <w:p w14:paraId="65ECB9E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5A4DEBC"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2B988A34" w14:textId="77777777" w:rsidTr="00995E56">
        <w:tc>
          <w:tcPr>
            <w:tcW w:w="5400" w:type="dxa"/>
          </w:tcPr>
          <w:p w14:paraId="17DF504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D1722A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25EDF4" w14:textId="77777777" w:rsidR="00BD46E6" w:rsidRPr="00202E1D" w:rsidRDefault="00BD46E6" w:rsidP="00BD46E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Reencaminhamentos</w:t>
      </w:r>
    </w:p>
    <w:p w14:paraId="432696D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número total de minutos durante os quais um determinado Reencaminhamento foi implementado no Microsoft Azure durante um Período Aplicável.</w:t>
      </w:r>
    </w:p>
    <w:p w14:paraId="3A7475F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a soma de todos os Minutos de Implementação em todos os Reencaminhamentos implementados pelo Cliente numa determinada subscrição do Microsoft Azure durante um Período Aplicável.</w:t>
      </w:r>
    </w:p>
    <w:p w14:paraId="20DF4F3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31EFB9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A Percentagem de Período de Disponibilidade para os Reencaminhamentos é calculada como o Máximo de Minutos Disponíveis menos o Período de Indisponibilidade a dividir pelo Máximo de Minutos Disponíveis num Período Aplicável para uma determinada subscrição do Microsoft Azure.</w:t>
      </w:r>
    </w:p>
    <w:p w14:paraId="54A530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Percentagem de Período de Disponibilidade é representada pela seguinte fórmula:</w:t>
      </w:r>
    </w:p>
    <w:p w14:paraId="603B6FBC"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sz w:val="12"/>
          <w:szCs w:val="12"/>
        </w:rPr>
      </w:pPr>
    </w:p>
    <w:p w14:paraId="633A771B"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4F831A8" w14:textId="77777777" w:rsidR="00BD46E6" w:rsidRDefault="00BD46E6" w:rsidP="00BD46E6">
      <w:pPr>
        <w:tabs>
          <w:tab w:val="left" w:pos="360"/>
          <w:tab w:val="left" w:pos="720"/>
          <w:tab w:val="left" w:pos="1080"/>
        </w:tabs>
        <w:spacing w:after="0" w:line="240" w:lineRule="auto"/>
        <w:rPr>
          <w:rFonts w:ascii="Calibri" w:eastAsia="Calibri" w:hAnsi="Calibri" w:cs="Arial"/>
          <w:b/>
          <w:color w:val="00188F"/>
          <w:sz w:val="18"/>
        </w:rPr>
      </w:pPr>
    </w:p>
    <w:p w14:paraId="5095D49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à utilização que o Cliente faz dos Reencaminhamentos</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C68B8FC" w14:textId="77777777" w:rsidTr="00995E56">
        <w:trPr>
          <w:tblHeader/>
        </w:trPr>
        <w:tc>
          <w:tcPr>
            <w:tcW w:w="5400" w:type="dxa"/>
            <w:shd w:val="clear" w:color="auto" w:fill="0072C6"/>
          </w:tcPr>
          <w:p w14:paraId="1F0AA26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604ACD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38D13E59" w14:textId="77777777" w:rsidTr="00995E56">
        <w:tc>
          <w:tcPr>
            <w:tcW w:w="5400" w:type="dxa"/>
          </w:tcPr>
          <w:p w14:paraId="488D6A9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3F3B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B911D06" w14:textId="77777777" w:rsidTr="00995E56">
        <w:tc>
          <w:tcPr>
            <w:tcW w:w="5400" w:type="dxa"/>
          </w:tcPr>
          <w:p w14:paraId="4E51C16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175B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91328E0" w14:textId="77777777" w:rsidR="00BD46E6" w:rsidRPr="00202E1D" w:rsidRDefault="00BD46E6" w:rsidP="00BD46E6">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1BB21621" w14:textId="77777777" w:rsidR="008A01B3" w:rsidRPr="00EF7CF9" w:rsidRDefault="008A01B3" w:rsidP="00F01ED6">
      <w:pPr>
        <w:pStyle w:val="ProductList-Offering2Heading"/>
        <w:tabs>
          <w:tab w:val="clear" w:pos="360"/>
          <w:tab w:val="clear" w:pos="720"/>
          <w:tab w:val="clear" w:pos="1080"/>
        </w:tabs>
        <w:outlineLvl w:val="2"/>
      </w:pPr>
      <w:bookmarkStart w:id="366" w:name="_Toc182409716"/>
      <w:r>
        <w:t>Azure SignalR Service</w:t>
      </w:r>
      <w:bookmarkEnd w:id="363"/>
      <w:bookmarkEnd w:id="364"/>
      <w:bookmarkEnd w:id="366"/>
    </w:p>
    <w:p w14:paraId="1A07B706" w14:textId="77777777" w:rsidR="008A01B3" w:rsidRPr="0022248D" w:rsidRDefault="008A01B3" w:rsidP="00F01ED6">
      <w:pPr>
        <w:pStyle w:val="ProductList-Body"/>
        <w:rPr>
          <w:b/>
          <w:color w:val="00188F"/>
        </w:rPr>
      </w:pPr>
      <w:r>
        <w:rPr>
          <w:b/>
          <w:color w:val="00188F"/>
        </w:rPr>
        <w:t>Definições Adicionais</w:t>
      </w:r>
      <w:r w:rsidRPr="00473DD3">
        <w:rPr>
          <w:b/>
          <w:color w:val="00188F"/>
        </w:rPr>
        <w:t>:</w:t>
      </w:r>
    </w:p>
    <w:p w14:paraId="35051C26" w14:textId="1412DC0C" w:rsidR="008A01B3" w:rsidRPr="00B44CF9" w:rsidRDefault="00380305" w:rsidP="00F01ED6">
      <w:pPr>
        <w:autoSpaceDE w:val="0"/>
        <w:autoSpaceDN w:val="0"/>
        <w:spacing w:after="0" w:line="240" w:lineRule="auto"/>
        <w:rPr>
          <w:rFonts w:ascii="Segoe UI" w:eastAsiaTheme="minorEastAsia" w:hAnsi="Segoe UI" w:cs="Segoe UI"/>
          <w:sz w:val="18"/>
          <w:szCs w:val="18"/>
          <w:lang w:eastAsia="zh-TW"/>
        </w:rPr>
      </w:pPr>
      <w:bookmarkStart w:id="367" w:name="_Hlk525654755"/>
      <w:r>
        <w:rPr>
          <w:sz w:val="18"/>
        </w:rPr>
        <w:t>“</w:t>
      </w:r>
      <w:r w:rsidR="008A01B3">
        <w:rPr>
          <w:b/>
          <w:color w:val="00188F"/>
          <w:sz w:val="18"/>
        </w:rPr>
        <w:t>Período de Indisponibilidade</w:t>
      </w:r>
      <w:r>
        <w:rPr>
          <w:sz w:val="18"/>
        </w:rPr>
        <w:t>”</w:t>
      </w:r>
      <w:r w:rsidR="008A01B3">
        <w:rPr>
          <w:sz w:val="18"/>
          <w:szCs w:val="18"/>
        </w:rPr>
        <w:t xml:space="preserve"> </w:t>
      </w:r>
      <w:r w:rsidR="008A01B3">
        <w:rPr>
          <w:sz w:val="18"/>
        </w:rPr>
        <w:t>designa o total acumulado de Máximo de Minutos Disponíveis durante um Período Aplicável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p>
    <w:p w14:paraId="2015B5C6" w14:textId="33BDF958" w:rsidR="008A01B3" w:rsidRPr="00EF7CF9" w:rsidRDefault="00380305" w:rsidP="00F01ED6">
      <w:pPr>
        <w:pStyle w:val="ProductList-Body"/>
      </w:pPr>
      <w:r>
        <w:t>“</w:t>
      </w:r>
      <w:r w:rsidR="008A01B3">
        <w:rPr>
          <w:b/>
          <w:color w:val="00188F"/>
        </w:rPr>
        <w:t>Máximo de Minutos Disponíveis</w:t>
      </w:r>
      <w:r>
        <w:t>”</w:t>
      </w:r>
      <w:r w:rsidR="008A01B3">
        <w:t xml:space="preserve"> designa o número total de minutos durante os quais o Serviço SignalR esteve implementado pelo Cliente numa determinada subscrição do Microsoft Azure durante um Período Aplicável.</w:t>
      </w:r>
    </w:p>
    <w:p w14:paraId="7BEB29D8" w14:textId="77BDB842" w:rsidR="008A01B3" w:rsidRPr="0022248D" w:rsidRDefault="00380305" w:rsidP="00F01ED6">
      <w:pPr>
        <w:pStyle w:val="ProductList-Body"/>
        <w:spacing w:after="40"/>
      </w:pPr>
      <w:r>
        <w:t>“</w:t>
      </w:r>
      <w:r w:rsidR="008A01B3">
        <w:rPr>
          <w:b/>
          <w:color w:val="00188F"/>
        </w:rPr>
        <w:t>Ponto Final do Serviço SignalR</w:t>
      </w:r>
      <w:r>
        <w:t>”</w:t>
      </w:r>
      <w:r w:rsidR="008A01B3">
        <w:t xml:space="preserve"> designa o nome do anfitrião a partir do qual o Serviço SignalR é acedido pelos servidores ou clientes para efetuarem Transações SignalR.</w:t>
      </w:r>
    </w:p>
    <w:p w14:paraId="07B13729" w14:textId="0843DB6B" w:rsidR="008A01B3" w:rsidRPr="00EF7CF9" w:rsidRDefault="00380305" w:rsidP="00DC1476">
      <w:pPr>
        <w:pStyle w:val="ProductList-Body"/>
      </w:pPr>
      <w:r>
        <w:t>“</w:t>
      </w:r>
      <w:r w:rsidR="008A01B3">
        <w:rPr>
          <w:b/>
          <w:color w:val="00188F"/>
        </w:rPr>
        <w:t>Transações SignalR</w:t>
      </w:r>
      <w:r>
        <w:t>”</w:t>
      </w:r>
      <w:r w:rsidR="008A01B3">
        <w:t xml:space="preserve"> é o conjunto de pedidos de transação enviados a partir do cliente para o servidor ou do servidor para o cliente através de</w:t>
      </w:r>
      <w:r w:rsidR="0086560D">
        <w:t> </w:t>
      </w:r>
      <w:r w:rsidR="008A01B3">
        <w:t>um</w:t>
      </w:r>
      <w:r w:rsidR="0086560D">
        <w:t> </w:t>
      </w:r>
      <w:r w:rsidR="008A01B3">
        <w:t>Ponto Final do Serviço SignalR.</w:t>
      </w:r>
    </w:p>
    <w:bookmarkEnd w:id="367"/>
    <w:p w14:paraId="349DE4C1" w14:textId="77777777" w:rsidR="008A01B3" w:rsidRPr="00DC1476" w:rsidRDefault="008A01B3" w:rsidP="00F01ED6">
      <w:pPr>
        <w:pStyle w:val="ProductList-Body"/>
        <w:rPr>
          <w:szCs w:val="18"/>
        </w:rPr>
      </w:pPr>
    </w:p>
    <w:p w14:paraId="285D972F" w14:textId="473DC744" w:rsidR="008A01B3" w:rsidRDefault="00AC48A7" w:rsidP="00C407EF">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0F9F59" w14:textId="77777777" w:rsidR="00DC1476" w:rsidRPr="00EF7CF9" w:rsidRDefault="00DC1476" w:rsidP="00F01ED6">
      <w:pPr>
        <w:pStyle w:val="ProductList-Body"/>
      </w:pPr>
    </w:p>
    <w:p w14:paraId="52DA437F" w14:textId="6179DE81" w:rsidR="008A01B3"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F10A3F" w14:textId="6D4CEC83" w:rsidR="008A01B3" w:rsidRPr="00E81B38" w:rsidRDefault="008A01B3" w:rsidP="00F01ED6">
      <w:pPr>
        <w:pStyle w:val="ProductList-Body"/>
        <w:rPr>
          <w:rFonts w:ascii="Calibri" w:eastAsia="Calibri" w:hAnsi="Calibri" w:cs="Arial"/>
          <w:b/>
          <w:color w:val="00188F"/>
        </w:rPr>
      </w:pPr>
      <w:r w:rsidRPr="00E81B38">
        <w:rPr>
          <w:rFonts w:ascii="Calibri" w:eastAsia="Calibri" w:hAnsi="Calibri" w:cs="Arial"/>
          <w:b/>
          <w:color w:val="00188F"/>
        </w:rPr>
        <w:t>Os seguintes Níveis de Serviço e Créditos de Serviço são aplicáveis à utilização que o Cliente faz das camadas Standard do Serviço SignalR.</w:t>
      </w:r>
    </w:p>
    <w:p w14:paraId="1A23005C" w14:textId="77777777" w:rsidR="008A01B3" w:rsidRPr="00EF7CF9" w:rsidRDefault="008A01B3"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DC1C44" w14:textId="77777777" w:rsidR="008A01B3" w:rsidRPr="005A3C16"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F01ED6">
            <w:pPr>
              <w:pStyle w:val="ProductList-OfferingBody"/>
              <w:jc w:val="center"/>
            </w:pPr>
            <w:r>
              <w:t>&lt; 99,9%</w:t>
            </w:r>
          </w:p>
        </w:tc>
        <w:tc>
          <w:tcPr>
            <w:tcW w:w="5400" w:type="dxa"/>
          </w:tcPr>
          <w:p w14:paraId="6E9E2EAF" w14:textId="77777777" w:rsidR="008A01B3" w:rsidRPr="005A3C16" w:rsidRDefault="008A01B3" w:rsidP="00F01ED6">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F01ED6">
            <w:pPr>
              <w:pStyle w:val="ProductList-OfferingBody"/>
              <w:jc w:val="center"/>
            </w:pPr>
            <w:r>
              <w:t>&lt; 99%</w:t>
            </w:r>
          </w:p>
        </w:tc>
        <w:tc>
          <w:tcPr>
            <w:tcW w:w="5400" w:type="dxa"/>
          </w:tcPr>
          <w:p w14:paraId="177EA44E" w14:textId="77777777" w:rsidR="008A01B3" w:rsidRPr="005A3C16" w:rsidRDefault="008A01B3" w:rsidP="00F01ED6">
            <w:pPr>
              <w:pStyle w:val="ProductList-OfferingBody"/>
              <w:jc w:val="center"/>
            </w:pPr>
            <w:r>
              <w:t>25%</w:t>
            </w:r>
          </w:p>
        </w:tc>
      </w:tr>
    </w:tbl>
    <w:bookmarkStart w:id="368" w:name="AzureSiteRecoveryService_OnPremtoAzure"/>
    <w:bookmarkStart w:id="369" w:name="_Toc52349007"/>
    <w:bookmarkEnd w:id="365"/>
    <w:p w14:paraId="4559E2E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3FE2B6D" w14:textId="77777777" w:rsidR="00A601A1" w:rsidRPr="00EF7CF9" w:rsidRDefault="00A601A1" w:rsidP="00F01ED6">
      <w:pPr>
        <w:pStyle w:val="ProductList-Offering2Heading"/>
        <w:tabs>
          <w:tab w:val="clear" w:pos="360"/>
          <w:tab w:val="clear" w:pos="720"/>
          <w:tab w:val="clear" w:pos="1080"/>
        </w:tabs>
        <w:outlineLvl w:val="2"/>
      </w:pPr>
      <w:bookmarkStart w:id="370" w:name="_Toc182409717"/>
      <w:r>
        <w:t>Azure Site Recovery</w:t>
      </w:r>
      <w:bookmarkEnd w:id="368"/>
      <w:bookmarkEnd w:id="369"/>
      <w:bookmarkEnd w:id="370"/>
    </w:p>
    <w:p w14:paraId="58D4E4C4" w14:textId="77777777" w:rsidR="00A601A1" w:rsidRPr="00EF7CF9" w:rsidRDefault="00A601A1" w:rsidP="00F01ED6">
      <w:pPr>
        <w:pStyle w:val="ProductList-Body"/>
      </w:pPr>
      <w:r>
        <w:rPr>
          <w:b/>
          <w:color w:val="00188F"/>
        </w:rPr>
        <w:t>Definições Adicionais</w:t>
      </w:r>
      <w:r w:rsidRPr="00473DD3">
        <w:rPr>
          <w:b/>
          <w:color w:val="00188F"/>
        </w:rPr>
        <w:t>:</w:t>
      </w:r>
    </w:p>
    <w:p w14:paraId="6FA36C36" w14:textId="77777777" w:rsidR="00E54BD6" w:rsidRPr="000E14A4" w:rsidRDefault="00E54BD6" w:rsidP="00E54BD6">
      <w:pPr>
        <w:pStyle w:val="ProductList-Body"/>
        <w:rPr>
          <w:rFonts w:ascii="Calibri" w:hAnsi="Calibri" w:cs="Calibri"/>
          <w:szCs w:val="18"/>
        </w:rPr>
      </w:pPr>
      <w:r w:rsidRPr="000E14A4">
        <w:rPr>
          <w:rFonts w:ascii="Calibri" w:hAnsi="Calibri" w:cs="Calibri"/>
        </w:rPr>
        <w:t xml:space="preserve">A </w:t>
      </w:r>
      <w:r w:rsidRPr="000E14A4">
        <w:rPr>
          <w:rFonts w:ascii="Calibri" w:hAnsi="Calibri" w:cs="Calibri"/>
          <w:szCs w:val="18"/>
        </w:rPr>
        <w:t>“</w:t>
      </w:r>
      <w:r w:rsidRPr="000E14A4">
        <w:rPr>
          <w:rFonts w:ascii="Calibri" w:hAnsi="Calibri" w:cs="Calibri"/>
          <w:b/>
          <w:color w:val="00188F"/>
          <w:szCs w:val="18"/>
        </w:rPr>
        <w:t>Ativação Pós-falha</w:t>
      </w:r>
      <w:r w:rsidRPr="000E14A4">
        <w:rPr>
          <w:rFonts w:ascii="Calibri" w:hAnsi="Calibri" w:cs="Calibri"/>
          <w:szCs w:val="18"/>
        </w:rPr>
        <w:t>” é o processo de transferência de controlo, simulado ou real, de uma Instância Protegida de um site primário para um site secundário.</w:t>
      </w:r>
    </w:p>
    <w:p w14:paraId="6B7B4D13"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Ativação Pós-falha do Local para o Azure</w:t>
      </w:r>
      <w:r w:rsidRPr="000E14A4">
        <w:rPr>
          <w:rFonts w:ascii="Calibri" w:hAnsi="Calibri" w:cs="Calibri"/>
          <w:szCs w:val="18"/>
        </w:rPr>
        <w:t>” designa a Ativação Pós-falha de uma Instância Protegida de um site primário não Azure para um site secundário do Azure.</w:t>
      </w:r>
    </w:p>
    <w:p w14:paraId="7448BCAC" w14:textId="77777777" w:rsidR="00E54BD6" w:rsidRPr="000E14A4" w:rsidRDefault="00E54BD6" w:rsidP="00E54BD6">
      <w:pPr>
        <w:pStyle w:val="ProductList-Body"/>
        <w:rPr>
          <w:rFonts w:ascii="Calibri" w:hAnsi="Calibri" w:cs="Calibri"/>
          <w:color w:val="505050"/>
          <w:szCs w:val="18"/>
          <w:highlight w:val="yellow"/>
        </w:rPr>
      </w:pPr>
      <w:r w:rsidRPr="000E14A4">
        <w:rPr>
          <w:rFonts w:ascii="Calibri" w:hAnsi="Calibri" w:cs="Calibri"/>
          <w:szCs w:val="18"/>
        </w:rPr>
        <w:t>“</w:t>
      </w:r>
      <w:r w:rsidRPr="000E14A4">
        <w:rPr>
          <w:rFonts w:ascii="Calibri" w:hAnsi="Calibri" w:cs="Calibri"/>
          <w:b/>
          <w:color w:val="00188F"/>
          <w:szCs w:val="18"/>
        </w:rPr>
        <w:t>Ativação Pós-falha do Azure para Azure</w:t>
      </w:r>
      <w:r w:rsidRPr="000E14A4">
        <w:rPr>
          <w:rFonts w:ascii="Calibri" w:hAnsi="Calibri" w:cs="Calibri"/>
          <w:szCs w:val="18"/>
        </w:rPr>
        <w:t>”</w:t>
      </w:r>
      <w:r w:rsidRPr="000E14A4">
        <w:rPr>
          <w:rFonts w:ascii="Calibri" w:hAnsi="Calibri" w:cs="Calibri"/>
          <w:color w:val="505050"/>
          <w:szCs w:val="18"/>
        </w:rPr>
        <w:t xml:space="preserve"> </w:t>
      </w:r>
      <w:r w:rsidRPr="000E14A4">
        <w:rPr>
          <w:rFonts w:ascii="Calibri" w:hAnsi="Calibri" w:cs="Calibri"/>
          <w:szCs w:val="18"/>
        </w:rPr>
        <w:t>é a Ativação Pós-falha de uma Instância Protegida de um site primário do Azure para um site secundário do Azure.</w:t>
      </w:r>
      <w:r w:rsidRPr="000E14A4">
        <w:rPr>
          <w:rFonts w:ascii="Calibri" w:hAnsi="Calibri" w:cs="Calibri"/>
          <w:color w:val="505050"/>
          <w:szCs w:val="18"/>
          <w:highlight w:val="yellow"/>
        </w:rPr>
        <w:t xml:space="preserve"> </w:t>
      </w:r>
    </w:p>
    <w:p w14:paraId="257B0C8B"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Site Recovery de um site primário para um site secundário. As Instâncias Protegidas são enumeradas no separador Itens Protegidos na secção Serviços de Recuperação do Portal de Gestão.</w:t>
      </w:r>
    </w:p>
    <w:p w14:paraId="7C9D0649" w14:textId="77777777" w:rsidR="00E54BD6" w:rsidRPr="000E14A4" w:rsidRDefault="00E54BD6" w:rsidP="00E54BD6">
      <w:pPr>
        <w:pStyle w:val="ProductList-Body"/>
        <w:rPr>
          <w:rFonts w:ascii="Calibri" w:hAnsi="Calibri" w:cs="Calibri"/>
          <w:b/>
          <w:color w:val="00188F"/>
          <w:szCs w:val="18"/>
        </w:rPr>
      </w:pPr>
      <w:r w:rsidRPr="000E14A4">
        <w:rPr>
          <w:rFonts w:ascii="Calibri" w:hAnsi="Calibri" w:cs="Calibri"/>
          <w:b/>
          <w:color w:val="00188F"/>
          <w:szCs w:val="18"/>
        </w:rPr>
        <w:t>Cálculo do Período de Disponibilidade e Níveis de Serviço para a Ativação Pós-falha do Azure para Azure ou No Local para Azure</w:t>
      </w:r>
    </w:p>
    <w:p w14:paraId="2F071DE6"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Minutos de Ativação Pós-falha</w:t>
      </w:r>
      <w:r w:rsidRPr="000E14A4">
        <w:rPr>
          <w:rFonts w:ascii="Calibri" w:hAnsi="Calibri" w:cs="Calibri"/>
          <w:szCs w:val="18"/>
        </w:rPr>
        <w:t>” designa o número total de minutos num Período Aplicável durante o qual uma Ativação Pós-falha de uma Instância Protegida configurada para a replicação de No Local para No Local foi tentada, mas não foi concluída.</w:t>
      </w:r>
    </w:p>
    <w:p w14:paraId="3F12D24D"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Máximo de Minutos Disponíveis</w:t>
      </w:r>
      <w:r w:rsidRPr="000E14A4">
        <w:rPr>
          <w:rFonts w:ascii="Calibri" w:hAnsi="Calibri" w:cs="Calibri"/>
          <w:szCs w:val="18"/>
        </w:rPr>
        <w:t>” designa o número total de minutos durante os quais uma determinada Instância Protegida foi configurada para a replicação Azure para Azure ou No Local para Azure pelo Serviço Azure Site Recovery durante um Período Aplicável.</w:t>
      </w:r>
    </w:p>
    <w:p w14:paraId="501AB454"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Azure Site Recovery de um site primário para um site secundário. As Instâncias Protegidas são enumeradas no separador Itens Protegidos na secção Serviços de Recuperação do Portal de Gestão.</w:t>
      </w:r>
    </w:p>
    <w:p w14:paraId="2B84EAFC" w14:textId="77777777" w:rsidR="00E54BD6" w:rsidRPr="000E14A4" w:rsidRDefault="00E54BD6" w:rsidP="00E54BD6">
      <w:pPr>
        <w:pStyle w:val="ProductList-Body"/>
        <w:rPr>
          <w:rFonts w:ascii="Calibri" w:hAnsi="Calibri" w:cs="Calibri"/>
          <w:szCs w:val="18"/>
        </w:rPr>
      </w:pPr>
      <w:r w:rsidRPr="000E14A4">
        <w:rPr>
          <w:rFonts w:ascii="Calibri" w:hAnsi="Calibri" w:cs="Calibri"/>
          <w:b/>
          <w:color w:val="00188F"/>
          <w:szCs w:val="18"/>
        </w:rPr>
        <w:t>Período de Indisponibilidade</w:t>
      </w:r>
      <w:r w:rsidRPr="00002C9D">
        <w:rPr>
          <w:rFonts w:ascii="Calibri" w:hAnsi="Calibri" w:cs="Calibri"/>
          <w:b/>
          <w:bCs/>
          <w:szCs w:val="18"/>
        </w:rPr>
        <w:t>:</w:t>
      </w:r>
      <w:r w:rsidRPr="000E14A4">
        <w:rPr>
          <w:rFonts w:ascii="Calibri" w:hAnsi="Calibri" w:cs="Calibri"/>
          <w:szCs w:val="18"/>
        </w:rP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53791A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b/>
          <w:color w:val="00188F"/>
          <w:szCs w:val="18"/>
        </w:rPr>
        <w:t>Percentagem de Período de Disponibilidade</w:t>
      </w:r>
      <w:r w:rsidRPr="005A7614">
        <w:rPr>
          <w:rFonts w:ascii="Calibri" w:hAnsi="Calibri" w:cs="Calibri"/>
          <w:b/>
          <w:bCs/>
          <w:szCs w:val="18"/>
        </w:rPr>
        <w:t>:</w:t>
      </w:r>
      <w:r w:rsidRPr="000E14A4">
        <w:rPr>
          <w:rFonts w:ascii="Calibri" w:hAnsi="Calibri" w:cs="Calibri"/>
          <w:szCs w:val="18"/>
        </w:rPr>
        <w:t xml:space="preserve"> para a Ativação Pós-falha Azure para Azure ou No Local para Azure de uma Instância Protegida específica num determinado Período Aplicável é calculada como o Máximo de Minutos Disponíveis menos o Período de Indisponibilidade, dividido pelo Máximo de Minutos Disponíveis. </w:t>
      </w:r>
    </w:p>
    <w:p w14:paraId="5FDC624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szCs w:val="18"/>
        </w:rPr>
        <w:t>A Percentagem de Período de Disponibilidade é calculada através da seguinte fórmula:</w:t>
      </w:r>
    </w:p>
    <w:p w14:paraId="24B4169D" w14:textId="77777777" w:rsidR="00E54BD6" w:rsidRDefault="00E54BD6" w:rsidP="00E54BD6">
      <w:pPr>
        <w:pStyle w:val="ProductList-Body"/>
        <w:keepNext/>
        <w:rPr>
          <w:rFonts w:cstheme="minorHAnsi"/>
          <w:szCs w:val="18"/>
        </w:rPr>
      </w:pPr>
    </w:p>
    <w:p w14:paraId="2BD45B6E" w14:textId="77777777" w:rsidR="00E54BD6" w:rsidRPr="00EF7CF9" w:rsidRDefault="00000000" w:rsidP="00E54BD6">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C44F00"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 Ativação Pós-falha do Azure para Azure ou No Local para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75FB3099" w14:textId="77777777" w:rsidTr="009D172D">
        <w:trPr>
          <w:tblHeader/>
        </w:trPr>
        <w:tc>
          <w:tcPr>
            <w:tcW w:w="5400" w:type="dxa"/>
            <w:shd w:val="clear" w:color="auto" w:fill="0072C6"/>
          </w:tcPr>
          <w:p w14:paraId="621763C7"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365BACA6"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E54BD6" w:rsidRPr="00B44CF9" w14:paraId="4ED20351" w14:textId="77777777" w:rsidTr="009D172D">
        <w:tc>
          <w:tcPr>
            <w:tcW w:w="5400" w:type="dxa"/>
          </w:tcPr>
          <w:p w14:paraId="408444AF"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2D4BC50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w:t>
            </w:r>
          </w:p>
        </w:tc>
      </w:tr>
      <w:tr w:rsidR="00E54BD6" w:rsidRPr="00B44CF9" w14:paraId="5692D66E" w14:textId="77777777" w:rsidTr="009D172D">
        <w:tc>
          <w:tcPr>
            <w:tcW w:w="5400" w:type="dxa"/>
          </w:tcPr>
          <w:p w14:paraId="69D62499"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5746EA2E"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25%</w:t>
            </w:r>
          </w:p>
        </w:tc>
      </w:tr>
    </w:tbl>
    <w:p w14:paraId="5A390D21" w14:textId="77777777" w:rsidR="00E54BD6" w:rsidRPr="00053A2B" w:rsidRDefault="00E54BD6" w:rsidP="00E54BD6">
      <w:pPr>
        <w:pStyle w:val="ProductList-Body"/>
        <w:spacing w:before="120"/>
        <w:rPr>
          <w:rFonts w:ascii="Calibri" w:hAnsi="Calibri" w:cs="Calibri"/>
          <w:b/>
          <w:bCs/>
          <w:color w:val="00188F"/>
        </w:rPr>
      </w:pPr>
      <w:r>
        <w:rPr>
          <w:rFonts w:ascii="Calibri" w:hAnsi="Calibri" w:cs="Calibri"/>
          <w:b/>
          <w:bCs/>
          <w:color w:val="00188F"/>
        </w:rPr>
        <w:t>Objetivo de Tempo de Recuperação e Níveis de Serviço para Ativação Pós-falha do Local para o Azure</w:t>
      </w:r>
    </w:p>
    <w:p w14:paraId="59B99CA7" w14:textId="77777777" w:rsidR="00E54BD6" w:rsidRPr="00053A2B"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 (RTO)</w:t>
      </w:r>
      <w:r>
        <w:rPr>
          <w:rFonts w:ascii="Calibri" w:hAnsi="Calibri" w:cs="Calibri"/>
        </w:rP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40BBA190" w14:textId="77777777" w:rsidR="00E54BD6" w:rsidRPr="0018346E"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w:t>
      </w:r>
      <w:r>
        <w:rPr>
          <w:rFonts w:ascii="Calibri" w:hAnsi="Calibri" w:cs="Calibri"/>
        </w:rPr>
        <w:t>”</w:t>
      </w:r>
      <w:r w:rsidRPr="00860AE1">
        <w:rPr>
          <w:rFonts w:ascii="Calibri" w:hAnsi="Calibri" w:cs="Calibri"/>
          <w:b/>
          <w:bCs/>
        </w:rPr>
        <w:t>:</w:t>
      </w:r>
      <w:r>
        <w:rPr>
          <w:rFonts w:ascii="Calibri" w:hAnsi="Calibri" w:cs="Calibri"/>
        </w:rPr>
        <w:t xml:space="preserve"> Para uma Instância Protegida específica configurada para a replicação Local para o Azure num determinado Período Aplicável é de uma hora.</w:t>
      </w:r>
    </w:p>
    <w:p w14:paraId="7931E48E" w14:textId="77777777" w:rsidR="00E54BD6" w:rsidRPr="00053A2B" w:rsidRDefault="00E54BD6" w:rsidP="00E54BD6">
      <w:pPr>
        <w:pStyle w:val="ProductList-Body"/>
        <w:rPr>
          <w:rFonts w:ascii="Calibri" w:hAnsi="Calibri" w:cs="Calibri"/>
          <w:b/>
          <w:color w:val="00188F"/>
          <w:sz w:val="12"/>
          <w:szCs w:val="12"/>
        </w:rPr>
      </w:pPr>
    </w:p>
    <w:p w14:paraId="0A1A1439"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Ativação Pós-falha do Local para o Azure</w:t>
      </w:r>
      <w:r w:rsidRPr="00560BE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5D54C5D9" w14:textId="77777777" w:rsidTr="009D172D">
        <w:trPr>
          <w:tblHeader/>
        </w:trPr>
        <w:tc>
          <w:tcPr>
            <w:tcW w:w="5400" w:type="dxa"/>
            <w:shd w:val="clear" w:color="auto" w:fill="0072C6"/>
          </w:tcPr>
          <w:p w14:paraId="25869345" w14:textId="77777777" w:rsidR="00E54BD6" w:rsidRPr="00EF7CF9" w:rsidRDefault="00E54BD6" w:rsidP="009D172D">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36CC7943" w14:textId="77777777" w:rsidR="00E54BD6" w:rsidRPr="00EF7CF9" w:rsidRDefault="00E54BD6" w:rsidP="009D172D">
            <w:pPr>
              <w:pStyle w:val="ProductList-OfferingBody"/>
              <w:jc w:val="center"/>
              <w:rPr>
                <w:color w:val="FFFFFF" w:themeColor="background1"/>
              </w:rPr>
            </w:pPr>
            <w:r>
              <w:rPr>
                <w:color w:val="FFFFFF" w:themeColor="background1"/>
              </w:rPr>
              <w:t>Crédito de Serviço</w:t>
            </w:r>
          </w:p>
        </w:tc>
      </w:tr>
      <w:tr w:rsidR="00E54BD6" w:rsidRPr="00B44CF9" w14:paraId="4882952F" w14:textId="77777777" w:rsidTr="009D172D">
        <w:tc>
          <w:tcPr>
            <w:tcW w:w="5400" w:type="dxa"/>
          </w:tcPr>
          <w:p w14:paraId="1836ECC0"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0E25503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100%</w:t>
            </w:r>
          </w:p>
        </w:tc>
      </w:tr>
    </w:tbl>
    <w:p w14:paraId="54A2120D" w14:textId="77777777" w:rsidR="00E54BD6" w:rsidRPr="007E0001" w:rsidRDefault="00E54BD6" w:rsidP="00E54BD6">
      <w:pPr>
        <w:pStyle w:val="ProductList-Body"/>
        <w:spacing w:before="120"/>
        <w:rPr>
          <w:rFonts w:ascii="Calibri" w:hAnsi="Calibri" w:cs="Calibri"/>
          <w:b/>
          <w:bCs/>
          <w:color w:val="00188F"/>
          <w:szCs w:val="18"/>
        </w:rPr>
      </w:pPr>
      <w:r w:rsidRPr="007E0001">
        <w:rPr>
          <w:rFonts w:ascii="Calibri" w:hAnsi="Calibri" w:cs="Calibri"/>
          <w:b/>
          <w:bCs/>
          <w:color w:val="00188F"/>
          <w:szCs w:val="18"/>
        </w:rPr>
        <w:t>Objetivo de Tempo de Recuperação e Níveis de Serviço para Ativação Pós-falha do Azure para Azure</w:t>
      </w:r>
    </w:p>
    <w:p w14:paraId="689B5EBA" w14:textId="77777777" w:rsidR="00E54BD6" w:rsidRPr="007E0001" w:rsidRDefault="00E54BD6" w:rsidP="00E54BD6">
      <w:pPr>
        <w:pStyle w:val="ProductList-Body"/>
        <w:rPr>
          <w:rFonts w:ascii="Calibri" w:hAnsi="Calibri" w:cs="Calibri"/>
          <w:szCs w:val="18"/>
        </w:rPr>
      </w:pPr>
      <w:r w:rsidRPr="007E0001">
        <w:rPr>
          <w:rFonts w:ascii="Calibri" w:hAnsi="Calibri" w:cs="Calibri"/>
          <w:bCs/>
          <w:szCs w:val="18"/>
        </w:rPr>
        <w:t>“</w:t>
      </w:r>
      <w:r w:rsidRPr="007E0001">
        <w:rPr>
          <w:rFonts w:ascii="Calibri" w:hAnsi="Calibri" w:cs="Calibri"/>
          <w:b/>
          <w:bCs/>
          <w:color w:val="00188F"/>
          <w:szCs w:val="18"/>
        </w:rPr>
        <w:t>Objetivo de Tempo de Recuperação (RTO)</w:t>
      </w:r>
      <w:r w:rsidRPr="007E0001">
        <w:rPr>
          <w:rFonts w:ascii="Calibri" w:hAnsi="Calibri" w:cs="Calibri"/>
          <w:szCs w:val="18"/>
        </w:rPr>
        <w:t>”</w:t>
      </w:r>
      <w:r w:rsidRPr="007E0001">
        <w:rPr>
          <w:rFonts w:ascii="Calibri" w:hAnsi="Calibri" w:cs="Calibri"/>
          <w:color w:val="00188F"/>
          <w:szCs w:val="18"/>
        </w:rPr>
        <w:t xml:space="preserve"> </w:t>
      </w:r>
      <w:r w:rsidRPr="007E0001">
        <w:rPr>
          <w:rFonts w:ascii="Calibri" w:hAnsi="Calibri" w:cs="Calibri"/>
          <w:szCs w:val="18"/>
        </w:rP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2B8DF5E4" w14:textId="77777777" w:rsidR="00E54BD6" w:rsidRPr="007E0001" w:rsidRDefault="00E54BD6" w:rsidP="00E54BD6">
      <w:pPr>
        <w:spacing w:after="120" w:line="240" w:lineRule="auto"/>
        <w:rPr>
          <w:rFonts w:ascii="Calibri" w:hAnsi="Calibri" w:cs="Calibri"/>
          <w:color w:val="00188F"/>
          <w:sz w:val="18"/>
          <w:szCs w:val="18"/>
        </w:rPr>
      </w:pPr>
      <w:r w:rsidRPr="007E0001">
        <w:rPr>
          <w:rFonts w:ascii="Calibri" w:hAnsi="Calibri" w:cs="Calibri"/>
          <w:sz w:val="18"/>
          <w:szCs w:val="18"/>
        </w:rPr>
        <w:t>O “</w:t>
      </w:r>
      <w:r w:rsidRPr="007E0001">
        <w:rPr>
          <w:rFonts w:ascii="Calibri" w:hAnsi="Calibri" w:cs="Calibri"/>
          <w:b/>
          <w:bCs/>
          <w:color w:val="00188F"/>
          <w:sz w:val="18"/>
          <w:szCs w:val="18"/>
        </w:rPr>
        <w:t>Objetivo de Tempo de Recuperação</w:t>
      </w:r>
      <w:r w:rsidRPr="007E0001">
        <w:rPr>
          <w:rFonts w:ascii="Calibri" w:hAnsi="Calibri" w:cs="Calibri"/>
          <w:sz w:val="18"/>
          <w:szCs w:val="18"/>
        </w:rPr>
        <w:t>”</w:t>
      </w:r>
      <w:r w:rsidRPr="007E0001">
        <w:rPr>
          <w:rFonts w:ascii="Calibri" w:hAnsi="Calibri" w:cs="Calibri"/>
          <w:b/>
          <w:color w:val="00188F"/>
          <w:sz w:val="18"/>
          <w:szCs w:val="18"/>
        </w:rPr>
        <w:t xml:space="preserve"> </w:t>
      </w:r>
      <w:r w:rsidRPr="007E0001">
        <w:rPr>
          <w:rFonts w:ascii="Calibri" w:hAnsi="Calibri" w:cs="Calibri"/>
          <w:sz w:val="18"/>
          <w:szCs w:val="18"/>
        </w:rPr>
        <w:t>para uma Instância Protegida específica configurada para a replicação Azure para Azure num determinado Período Aplicável é de 1 hora.</w:t>
      </w:r>
    </w:p>
    <w:p w14:paraId="001EEA06" w14:textId="77777777" w:rsidR="00E54BD6" w:rsidRPr="007E0001" w:rsidRDefault="00E54BD6" w:rsidP="00E54BD6">
      <w:pPr>
        <w:pStyle w:val="ProductList-Body"/>
        <w:rPr>
          <w:rFonts w:ascii="Calibri" w:hAnsi="Calibri" w:cs="Calibri"/>
          <w:szCs w:val="18"/>
        </w:rPr>
      </w:pPr>
      <w:r w:rsidRPr="007E0001">
        <w:rPr>
          <w:rFonts w:ascii="Calibri" w:hAnsi="Calibri" w:cs="Calibri"/>
          <w:b/>
          <w:color w:val="00188F"/>
          <w:szCs w:val="18"/>
        </w:rPr>
        <w:t>Os seguintes Níveis de Serviço e Créditos de Serviço são aplicáveis à utilização que o Cliente faz de cada Instância Protegida no Serviço Site Recovery para Ativação Pós-falha do Azure para Azure</w:t>
      </w:r>
      <w:r w:rsidRPr="00B711B4">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14:paraId="02276382"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049284"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759D7B"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Serviço</w:t>
            </w:r>
          </w:p>
        </w:tc>
      </w:tr>
      <w:tr w:rsidR="00E54BD6" w14:paraId="17E634C7"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13464"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3A2B7"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75837827" w14:textId="77777777" w:rsidR="00E54BD6" w:rsidRPr="00053A2B" w:rsidRDefault="00E54BD6" w:rsidP="00E81B38">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Os créditos de serviço por falha da ativação pós-falha não serão aplicáveis se a capacidade de computação na região secundária não estiver disponível.</w:t>
      </w:r>
    </w:p>
    <w:p w14:paraId="43689F8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7748417" w14:textId="77777777" w:rsidR="004F034D" w:rsidRPr="004F034D" w:rsidRDefault="004F034D" w:rsidP="00F01ED6">
      <w:pPr>
        <w:pStyle w:val="ProductList-Offering2Heading"/>
        <w:keepNext/>
        <w:tabs>
          <w:tab w:val="clear" w:pos="360"/>
          <w:tab w:val="clear" w:pos="720"/>
          <w:tab w:val="clear" w:pos="1080"/>
        </w:tabs>
        <w:outlineLvl w:val="2"/>
      </w:pPr>
      <w:bookmarkStart w:id="371" w:name="_Toc182409718"/>
      <w:r>
        <w:t>Spatial Anchors</w:t>
      </w:r>
      <w:bookmarkEnd w:id="371"/>
    </w:p>
    <w:p w14:paraId="0BFC321D" w14:textId="77777777" w:rsidR="004F034D" w:rsidRPr="00405BA5" w:rsidRDefault="004F034D" w:rsidP="00F01ED6">
      <w:pPr>
        <w:pStyle w:val="ProductList-Body"/>
        <w:keepNext/>
        <w:rPr>
          <w:b/>
          <w:bCs/>
          <w:color w:val="00188F"/>
        </w:rPr>
      </w:pPr>
      <w:r>
        <w:rPr>
          <w:b/>
          <w:bCs/>
          <w:color w:val="00188F"/>
        </w:rPr>
        <w:t>Definições Adicionais</w:t>
      </w:r>
    </w:p>
    <w:p w14:paraId="651B2826" w14:textId="4D8F7671" w:rsidR="004F034D" w:rsidRDefault="00380305" w:rsidP="00F01ED6">
      <w:pPr>
        <w:pStyle w:val="ProductList-Body"/>
      </w:pPr>
      <w:r>
        <w:t>“</w:t>
      </w:r>
      <w:r w:rsidR="004F034D">
        <w:rPr>
          <w:b/>
          <w:bCs/>
          <w:color w:val="00188F"/>
        </w:rPr>
        <w:t>Total de Tentativas de Transação</w:t>
      </w:r>
      <w:r>
        <w:t>”</w:t>
      </w:r>
      <w:r w:rsidR="004F034D">
        <w:t xml:space="preserve"> é o número total de pedidos de API autenticados em relação aos Azure Spatial Anchors feitos pelo Cliente durante um Período Aplicável para uma determinada API de Azure Spatial Anchors. O Total de Tentativas de Transação não inclui os pedidos de API que devolvem um Código de Erro e que são repetidos continuamente num intervalo de cinco minutos após a receção do primeiro Código de Erro.</w:t>
      </w:r>
    </w:p>
    <w:p w14:paraId="796CA674" w14:textId="6C28C700" w:rsidR="004F034D" w:rsidRDefault="00380305" w:rsidP="00F01ED6">
      <w:pPr>
        <w:pStyle w:val="ProductList-Body"/>
      </w:pPr>
      <w:r w:rsidRPr="00CB7596">
        <w:t>“</w:t>
      </w:r>
      <w:r w:rsidR="004F034D">
        <w:rPr>
          <w:b/>
          <w:bCs/>
          <w:color w:val="00188F"/>
        </w:rPr>
        <w:t>Transações com Falha</w:t>
      </w:r>
      <w:r w:rsidRPr="00CB7596">
        <w:t>”</w:t>
      </w:r>
      <w:r w:rsidR="004F034D">
        <w:t xml:space="preserve"> é o conjunto de todos os pedidos para a API de Azure Spatial Anchors no Total de Tentativas de Transação que devolve um Código de Erro.</w:t>
      </w:r>
    </w:p>
    <w:p w14:paraId="5DEAF8F5" w14:textId="33CFCAAA" w:rsidR="004F034D" w:rsidRPr="001012EB" w:rsidRDefault="00EE6E3C" w:rsidP="00F01ED6">
      <w:pPr>
        <w:pStyle w:val="ProductList-Body"/>
        <w:keepNext/>
        <w:rPr>
          <w:b/>
          <w:bCs/>
          <w:color w:val="00188F"/>
        </w:rPr>
      </w:pPr>
      <w:r>
        <w:rPr>
          <w:b/>
          <w:bCs/>
          <w:color w:val="00188F"/>
        </w:rPr>
        <w:t>Cálculo do Período de Disponibilidade</w:t>
      </w:r>
    </w:p>
    <w:p w14:paraId="1A5DAFF7" w14:textId="21A8B03C" w:rsidR="004F034D" w:rsidRDefault="004F034D" w:rsidP="00F01ED6">
      <w:pPr>
        <w:pStyle w:val="ProductList-Body"/>
      </w:pPr>
      <w:r>
        <w:t xml:space="preserve">A </w:t>
      </w:r>
      <w:r w:rsidR="00380305">
        <w:t>“</w:t>
      </w:r>
      <w:r>
        <w:rPr>
          <w:b/>
          <w:bCs/>
          <w:color w:val="00188F"/>
        </w:rPr>
        <w:t>Percentagem de Período de Disponibilidade</w:t>
      </w:r>
      <w:r w:rsidR="00380305">
        <w:t>”</w:t>
      </w:r>
      <w:r>
        <w:t xml:space="preserve"> para os Azure Spatial Anchors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197042BD" w14:textId="77777777" w:rsidR="00F21F65" w:rsidRPr="00593E99" w:rsidRDefault="00F21F65" w:rsidP="00F01ED6">
      <w:pPr>
        <w:pStyle w:val="ProductList-Body"/>
        <w:rPr>
          <w:sz w:val="12"/>
          <w:szCs w:val="12"/>
        </w:rPr>
      </w:pPr>
    </w:p>
    <w:p w14:paraId="02BCFA38" w14:textId="3EE7BAA7" w:rsidR="00F21F65" w:rsidRPr="00EF7CF9" w:rsidRDefault="00000000" w:rsidP="00593E99">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F01ED6">
      <w:pPr>
        <w:pStyle w:val="ProductList-Body"/>
        <w:rPr>
          <w:b/>
          <w:bCs/>
          <w:color w:val="00188F"/>
        </w:rPr>
      </w:pPr>
      <w:r>
        <w:rPr>
          <w:b/>
          <w:bCs/>
          <w:color w:val="00188F"/>
        </w:rPr>
        <w:t>Os seguintes Níveis de Serviço e Créditos de Serviço são aplicáveis às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FF80F05" w14:textId="77777777" w:rsidR="005C638F" w:rsidRPr="00EF7CF9" w:rsidRDefault="005C638F" w:rsidP="00F01ED6">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F01ED6">
            <w:pPr>
              <w:pStyle w:val="ProductList-OfferingBody"/>
              <w:jc w:val="center"/>
            </w:pPr>
            <w:r>
              <w:t>&lt; 99,9%</w:t>
            </w:r>
          </w:p>
        </w:tc>
        <w:tc>
          <w:tcPr>
            <w:tcW w:w="5400" w:type="dxa"/>
          </w:tcPr>
          <w:p w14:paraId="7357F934" w14:textId="77777777" w:rsidR="005C638F" w:rsidRPr="00EF7CF9" w:rsidRDefault="005C638F" w:rsidP="00F01ED6">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F01ED6">
            <w:pPr>
              <w:pStyle w:val="ProductList-OfferingBody"/>
              <w:jc w:val="center"/>
            </w:pPr>
            <w:r>
              <w:t>&lt; 99%</w:t>
            </w:r>
          </w:p>
        </w:tc>
        <w:tc>
          <w:tcPr>
            <w:tcW w:w="5400" w:type="dxa"/>
          </w:tcPr>
          <w:p w14:paraId="7AD1629F" w14:textId="77777777" w:rsidR="005C638F" w:rsidRPr="00EF7CF9" w:rsidRDefault="005C638F" w:rsidP="00F01ED6">
            <w:pPr>
              <w:pStyle w:val="ProductList-OfferingBody"/>
              <w:jc w:val="center"/>
            </w:pPr>
            <w:r>
              <w:t>25%</w:t>
            </w:r>
          </w:p>
        </w:tc>
      </w:tr>
    </w:tbl>
    <w:p w14:paraId="11A2858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D3B8C1" w14:textId="77777777" w:rsidR="004731F2" w:rsidRPr="004731F2" w:rsidRDefault="004731F2" w:rsidP="003E44BF">
      <w:pPr>
        <w:pStyle w:val="ProductList-Offering2Heading"/>
        <w:keepNext/>
        <w:tabs>
          <w:tab w:val="clear" w:pos="360"/>
          <w:tab w:val="clear" w:pos="720"/>
          <w:tab w:val="clear" w:pos="1080"/>
        </w:tabs>
        <w:outlineLvl w:val="2"/>
      </w:pPr>
      <w:bookmarkStart w:id="372" w:name="_Toc182409719"/>
      <w:r>
        <w:t>Azure Spring Apps</w:t>
      </w:r>
      <w:bookmarkEnd w:id="372"/>
    </w:p>
    <w:p w14:paraId="0563B350" w14:textId="77777777" w:rsidR="004731F2" w:rsidRPr="004731F2" w:rsidRDefault="004731F2" w:rsidP="00F01ED6">
      <w:pPr>
        <w:pStyle w:val="ProductList-Body"/>
        <w:rPr>
          <w:b/>
          <w:bCs/>
          <w:color w:val="00188F"/>
        </w:rPr>
      </w:pPr>
      <w:r>
        <w:rPr>
          <w:b/>
          <w:bCs/>
          <w:color w:val="00188F"/>
        </w:rPr>
        <w:t>Definições Adicionais</w:t>
      </w:r>
    </w:p>
    <w:p w14:paraId="5CE2A674" w14:textId="00CA5FE9" w:rsidR="004731F2" w:rsidRDefault="00380305" w:rsidP="00F01ED6">
      <w:pPr>
        <w:pStyle w:val="ProductList-Body"/>
      </w:pPr>
      <w:r>
        <w:t>“</w:t>
      </w:r>
      <w:r w:rsidR="004731F2">
        <w:rPr>
          <w:b/>
          <w:bCs/>
          <w:color w:val="00188F"/>
        </w:rPr>
        <w:t>Aplicação</w:t>
      </w:r>
      <w:r>
        <w:t>”</w:t>
      </w:r>
      <w:r w:rsidR="004731F2">
        <w:t xml:space="preserve"> é uma Aplicação do Spring Boot implementada pelo Cliente no Azure Spring Apps. Excluindo as Aplicações na Camada Basic.</w:t>
      </w:r>
    </w:p>
    <w:p w14:paraId="10973B28" w14:textId="6CE4C804" w:rsidR="004731F2" w:rsidRDefault="00380305" w:rsidP="00F01ED6">
      <w:pPr>
        <w:pStyle w:val="ProductList-Body"/>
      </w:pPr>
      <w:r>
        <w:t>“</w:t>
      </w:r>
      <w:r w:rsidR="004731F2">
        <w:rPr>
          <w:b/>
          <w:bCs/>
          <w:color w:val="00188F"/>
        </w:rPr>
        <w:t>Runtime do Serviço Spring Apps</w:t>
      </w:r>
      <w:r>
        <w:t>”</w:t>
      </w:r>
      <w:r w:rsidR="004731F2">
        <w:t xml:space="preserve"> é uma coleção de componentes do Spring Apps (por exemplo, Spring Apps Config Server, Spring Apps Registry) alojada pela Microsoft.</w:t>
      </w:r>
    </w:p>
    <w:p w14:paraId="6C47BC19" w14:textId="7BA2076C" w:rsidR="004731F2" w:rsidRPr="004731F2" w:rsidRDefault="00EE6E3C" w:rsidP="00F01ED6">
      <w:pPr>
        <w:pStyle w:val="ProductList-Body"/>
        <w:spacing w:before="120"/>
        <w:rPr>
          <w:b/>
          <w:bCs/>
          <w:color w:val="00188F"/>
        </w:rPr>
      </w:pPr>
      <w:r>
        <w:rPr>
          <w:b/>
          <w:bCs/>
          <w:color w:val="00188F"/>
        </w:rPr>
        <w:t>Cálculo do Período de Disponibilidade e Níveis de Serviço para o Azure Spring Apps</w:t>
      </w:r>
    </w:p>
    <w:p w14:paraId="17080AFD" w14:textId="7ED6F6CB" w:rsidR="004731F2" w:rsidRDefault="00380305" w:rsidP="00F01ED6">
      <w:pPr>
        <w:pStyle w:val="ProductList-Body"/>
      </w:pPr>
      <w:r>
        <w:t>“</w:t>
      </w:r>
      <w:r w:rsidR="004731F2">
        <w:rPr>
          <w:b/>
          <w:bCs/>
          <w:color w:val="00188F"/>
        </w:rPr>
        <w:t>Minutos de Implementação</w:t>
      </w:r>
      <w:r>
        <w:t>”</w:t>
      </w:r>
      <w:r w:rsidR="004731F2">
        <w:t xml:space="preserve"> designa o número total de minutos durante os quais uma determinada Aplicação foi definida para ser executada no</w:t>
      </w:r>
      <w:r w:rsidR="00EB3633">
        <w:t> </w:t>
      </w:r>
      <w:r w:rsidR="004731F2">
        <w:t>Microsoft Azure durante um Período Aplicável. Os Minutos de Implementação são calculados a partir do momento em que a Aplicação foi criada</w:t>
      </w:r>
      <w:r w:rsidR="00EB3633">
        <w:t> </w:t>
      </w:r>
      <w:r w:rsidR="004731F2">
        <w:t>ou o Cliente iniciou uma ação que resultaria na execução da Aplicação até ao momento em que o Cliente iniciou uma ação que resultaria na</w:t>
      </w:r>
      <w:r w:rsidR="00EB3633">
        <w:t> </w:t>
      </w:r>
      <w:r w:rsidR="004731F2">
        <w:t>interrupção ou eliminação da Aplicação.</w:t>
      </w:r>
    </w:p>
    <w:p w14:paraId="7ADA867F" w14:textId="38A71791" w:rsidR="004731F2" w:rsidRDefault="00380305" w:rsidP="00F01ED6">
      <w:pPr>
        <w:pStyle w:val="ProductList-Body"/>
      </w:pPr>
      <w:r>
        <w:t>“</w:t>
      </w:r>
      <w:r w:rsidR="004731F2">
        <w:rPr>
          <w:b/>
          <w:bCs/>
          <w:color w:val="00188F"/>
        </w:rPr>
        <w:t>Máximo de Minutos Disponíveis</w:t>
      </w:r>
      <w:r>
        <w:t>”</w:t>
      </w:r>
      <w:r w:rsidR="004731F2">
        <w:t xml:space="preserve"> designa a soma de todos os Minutos de Implementação em todas as Aplicações implementadas pelo Cliente numa determinada subscrição do Microsoft Azure durante um Período Aplicável.</w:t>
      </w:r>
    </w:p>
    <w:p w14:paraId="78D8D718" w14:textId="5E04B5DC" w:rsidR="004731F2" w:rsidRDefault="00380305" w:rsidP="00F01ED6">
      <w:pPr>
        <w:pStyle w:val="ProductList-Body"/>
      </w:pPr>
      <w:r>
        <w:t>“</w:t>
      </w:r>
      <w:r w:rsidR="004731F2">
        <w:rPr>
          <w:b/>
          <w:bCs/>
          <w:color w:val="00188F"/>
        </w:rPr>
        <w:t>Período de Indisponibilidade</w:t>
      </w:r>
      <w:r>
        <w:t>”</w:t>
      </w:r>
      <w:r w:rsidR="004731F2">
        <w:t xml:space="preserve"> designa a soma de todos os Minutos de Implementação, em todas as Aplicações implementadas pelo Cliente numa</w:t>
      </w:r>
      <w:r w:rsidR="00A67B21">
        <w:t> </w:t>
      </w:r>
      <w:r w:rsidR="004731F2">
        <w:t>determinada subscrição do Microsoft Azure, durante um Período Aplicável no qual a Aplicação está indisponível. Um minuto é considerado indisponível para uma determinada Aplicação se todas as tentativas contínuas para estabelecer ligação entre a Aplicação e o gateway de Internet da Microsoft, ou o Runtime do Serviço Azure Spring Service Runtime, nesse minuto resultar num Código de Erro ou não devolver um Código de Êxito num prazo de cinco minutos.</w:t>
      </w:r>
    </w:p>
    <w:p w14:paraId="480E1E8E" w14:textId="3B4037AE" w:rsidR="004731F2" w:rsidRDefault="00380305" w:rsidP="00F01ED6">
      <w:pPr>
        <w:pStyle w:val="ProductList-Body"/>
      </w:pPr>
      <w:r>
        <w:t>“</w:t>
      </w:r>
      <w:r w:rsidR="004731F2">
        <w:rPr>
          <w:b/>
          <w:bCs/>
          <w:color w:val="00188F"/>
        </w:rPr>
        <w:t>Percentagem de Período de Disponibilidade</w:t>
      </w:r>
      <w:r>
        <w:t>”</w:t>
      </w:r>
      <w:r w:rsidR="004731F2">
        <w:t xml:space="preserve"> A Percentagem de Período de Disponibilidade é calculada utilizando a seguinte fórmula:</w:t>
      </w:r>
    </w:p>
    <w:p w14:paraId="20BD0756" w14:textId="77777777" w:rsidR="004731F2" w:rsidRPr="00593E99" w:rsidRDefault="004731F2" w:rsidP="00F01ED6">
      <w:pPr>
        <w:pStyle w:val="ProductList-Body"/>
        <w:rPr>
          <w:sz w:val="12"/>
          <w:szCs w:val="12"/>
        </w:rPr>
      </w:pPr>
    </w:p>
    <w:p w14:paraId="0ECF3A39" w14:textId="7E47185F" w:rsidR="004731F2"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F62620" w14:textId="33C509D8" w:rsidR="004731F2" w:rsidRPr="004731F2" w:rsidRDefault="00DE237E" w:rsidP="00F01ED6">
      <w:pPr>
        <w:pStyle w:val="ProductList-Body"/>
        <w:rPr>
          <w:b/>
          <w:bCs/>
          <w:color w:val="00188F"/>
        </w:rPr>
      </w:pPr>
      <w:r>
        <w:rPr>
          <w:b/>
          <w:bCs/>
          <w:color w:val="00188F"/>
        </w:rPr>
        <w:t>Os seguintes Níveis de Serviço e Créditos de Serviço são aplicáveis à Camada Standard: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EF3B8E" w14:textId="77777777" w:rsidR="004731F2" w:rsidRPr="00EF7CF9" w:rsidRDefault="004731F2" w:rsidP="00F01ED6">
            <w:pPr>
              <w:pStyle w:val="ProductList-OfferingBody"/>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F01ED6">
            <w:pPr>
              <w:pStyle w:val="ProductList-OfferingBody"/>
              <w:jc w:val="center"/>
            </w:pPr>
            <w:r>
              <w:t>&lt; 99,9%</w:t>
            </w:r>
          </w:p>
        </w:tc>
        <w:tc>
          <w:tcPr>
            <w:tcW w:w="5400" w:type="dxa"/>
          </w:tcPr>
          <w:p w14:paraId="6A78877F" w14:textId="77777777" w:rsidR="004731F2" w:rsidRPr="00EF7CF9" w:rsidRDefault="004731F2" w:rsidP="00F01ED6">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F01ED6">
            <w:pPr>
              <w:pStyle w:val="ProductList-OfferingBody"/>
              <w:jc w:val="center"/>
            </w:pPr>
            <w:r>
              <w:t>&lt; 99%</w:t>
            </w:r>
          </w:p>
        </w:tc>
        <w:tc>
          <w:tcPr>
            <w:tcW w:w="5400" w:type="dxa"/>
          </w:tcPr>
          <w:p w14:paraId="7BBF4E72" w14:textId="77777777" w:rsidR="004731F2" w:rsidRPr="00EF7CF9" w:rsidRDefault="004731F2" w:rsidP="00F01ED6">
            <w:pPr>
              <w:pStyle w:val="ProductList-OfferingBody"/>
              <w:jc w:val="center"/>
            </w:pPr>
            <w:r>
              <w:t>25%</w:t>
            </w:r>
          </w:p>
        </w:tc>
      </w:tr>
    </w:tbl>
    <w:p w14:paraId="2533A8E1" w14:textId="77777777" w:rsidR="002B686C" w:rsidRPr="006A47EC" w:rsidRDefault="002B686C" w:rsidP="00F01ED6">
      <w:pPr>
        <w:pStyle w:val="ProductList-Body"/>
        <w:rPr>
          <w:b/>
          <w:bCs/>
          <w:color w:val="00188F"/>
          <w:sz w:val="12"/>
          <w:szCs w:val="12"/>
        </w:rPr>
      </w:pPr>
    </w:p>
    <w:p w14:paraId="1785D4EF" w14:textId="7C09F61D" w:rsidR="002B686C" w:rsidRDefault="002B686C" w:rsidP="00F01ED6">
      <w:pPr>
        <w:pStyle w:val="ProductList-Body"/>
        <w:keepNext/>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F01ED6">
            <w:pPr>
              <w:pStyle w:val="ProductList-OfferingBody"/>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F01ED6">
            <w:pPr>
              <w:pStyle w:val="ProductList-OfferingBody"/>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F01ED6">
            <w:pPr>
              <w:pStyle w:val="ProductList-OfferingBody"/>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F01ED6">
            <w:pPr>
              <w:pStyle w:val="ProductList-OfferingBody"/>
              <w:jc w:val="center"/>
            </w:pPr>
            <w:r>
              <w:t>25%</w:t>
            </w:r>
          </w:p>
        </w:tc>
      </w:tr>
    </w:tbl>
    <w:bookmarkStart w:id="373" w:name="_Toc52348987"/>
    <w:p w14:paraId="2C79D36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1E3AFFC" w14:textId="30D67989" w:rsidR="003D733D" w:rsidRPr="00EF7CF9" w:rsidRDefault="003D733D" w:rsidP="00F01ED6">
      <w:pPr>
        <w:pStyle w:val="ProductList-Offering2Heading"/>
        <w:tabs>
          <w:tab w:val="clear" w:pos="360"/>
          <w:tab w:val="clear" w:pos="720"/>
          <w:tab w:val="clear" w:pos="1080"/>
        </w:tabs>
        <w:outlineLvl w:val="2"/>
      </w:pPr>
      <w:bookmarkStart w:id="374" w:name="_Toc182409720"/>
      <w:r>
        <w:t>Base de Dados SQL do Azure</w:t>
      </w:r>
      <w:bookmarkEnd w:id="374"/>
      <w:r>
        <w:t xml:space="preserve"> </w:t>
      </w:r>
      <w:bookmarkEnd w:id="373"/>
    </w:p>
    <w:p w14:paraId="66E30F7E" w14:textId="77777777" w:rsidR="003D733D" w:rsidRPr="00EF7CF9" w:rsidRDefault="003D733D" w:rsidP="00F01ED6">
      <w:pPr>
        <w:pStyle w:val="ProductList-Body"/>
      </w:pPr>
      <w:r>
        <w:rPr>
          <w:b/>
          <w:color w:val="00188F"/>
        </w:rPr>
        <w:t>Definições Adicionais</w:t>
      </w:r>
      <w:r w:rsidRPr="00473DD3">
        <w:rPr>
          <w:b/>
          <w:color w:val="00188F"/>
        </w:rPr>
        <w:t>:</w:t>
      </w:r>
    </w:p>
    <w:p w14:paraId="2FD63069" w14:textId="721D552E" w:rsidR="003D733D" w:rsidRPr="00ED4527" w:rsidRDefault="00380305" w:rsidP="00F01ED6">
      <w:pPr>
        <w:pStyle w:val="ProductList-Body"/>
        <w:jc w:val="both"/>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designa uma área isolada de falhas numa região do Azure que providencia alimentação, refrigeração e rede redundantes.</w:t>
      </w:r>
    </w:p>
    <w:p w14:paraId="470C0B9A" w14:textId="3543563B" w:rsidR="003D733D" w:rsidRPr="00ED4527" w:rsidRDefault="00380305" w:rsidP="00F01ED6">
      <w:pPr>
        <w:pStyle w:val="ProductList-Body"/>
        <w:rPr>
          <w:color w:val="000000" w:themeColor="text1"/>
        </w:rPr>
      </w:pPr>
      <w:r>
        <w:rPr>
          <w:color w:val="000000" w:themeColor="text1"/>
        </w:rPr>
        <w:t>“</w:t>
      </w:r>
      <w:r w:rsidR="003D733D">
        <w:rPr>
          <w:b/>
          <w:bCs/>
          <w:color w:val="00188F"/>
        </w:rPr>
        <w:t>Base de dados</w:t>
      </w:r>
      <w:r>
        <w:rPr>
          <w:color w:val="000000" w:themeColor="text1"/>
        </w:rPr>
        <w:t>”</w:t>
      </w:r>
      <w:r w:rsidR="003D733D">
        <w:rPr>
          <w:color w:val="000000" w:themeColor="text1"/>
        </w:rPr>
        <w:t xml:space="preserve"> designa qualquer Base de Dados SQL do Microsoft Azure criada em qualquer um dos níveis de Serviço e implementada quer como uma base de dados individual ou num Conjunto Elástico.</w:t>
      </w:r>
    </w:p>
    <w:p w14:paraId="3425FC85" w14:textId="3B199AB2" w:rsidR="003D733D" w:rsidRPr="00ED4527" w:rsidRDefault="00380305" w:rsidP="00F01ED6">
      <w:pPr>
        <w:pStyle w:val="ProductList-Body"/>
        <w:rPr>
          <w:color w:val="000000" w:themeColor="text1"/>
        </w:rPr>
      </w:pPr>
      <w:r>
        <w:rPr>
          <w:color w:val="000000" w:themeColor="text1"/>
        </w:rPr>
        <w:t>“</w:t>
      </w:r>
      <w:r w:rsidR="003D733D">
        <w:rPr>
          <w:b/>
          <w:bCs/>
          <w:color w:val="00188F"/>
        </w:rPr>
        <w:t>Implementação Redundante por Zona</w:t>
      </w:r>
      <w:r>
        <w:rPr>
          <w:color w:val="000000" w:themeColor="text1"/>
        </w:rPr>
        <w:t>”</w:t>
      </w:r>
      <w:r w:rsidR="003D733D">
        <w:rPr>
          <w:color w:val="000000" w:themeColor="text1"/>
        </w:rPr>
        <w:t xml:space="preserve"> designa uma Base de Dados implementada em várias Zonas de Disponibilidade.</w:t>
      </w:r>
    </w:p>
    <w:p w14:paraId="30555189" w14:textId="21085EA7" w:rsidR="003D733D" w:rsidRPr="00ED4527" w:rsidRDefault="00380305" w:rsidP="00F01ED6">
      <w:pPr>
        <w:pStyle w:val="ProductList-Body"/>
        <w:rPr>
          <w:color w:val="000000" w:themeColor="text1"/>
        </w:rPr>
      </w:pPr>
      <w:r>
        <w:rPr>
          <w:color w:val="000000" w:themeColor="text1"/>
        </w:rPr>
        <w:t>“</w:t>
      </w:r>
      <w:r w:rsidR="003D733D">
        <w:rPr>
          <w:b/>
          <w:bCs/>
          <w:color w:val="00188F"/>
        </w:rPr>
        <w:t>Principal</w:t>
      </w:r>
      <w:r>
        <w:rPr>
          <w:color w:val="000000" w:themeColor="text1"/>
        </w:rPr>
        <w:t>”</w:t>
      </w:r>
      <w:r w:rsidR="003D733D">
        <w:rPr>
          <w:color w:val="000000" w:themeColor="text1"/>
        </w:rPr>
        <w:t xml:space="preserve"> designa qualquer Base de Dados que tenha uma relação de georreplicação ativa com uma Base de Dados noutras regiões Azure. A</w:t>
      </w:r>
      <w:r w:rsidR="00870B51">
        <w:rPr>
          <w:color w:val="000000" w:themeColor="text1"/>
        </w:rPr>
        <w:t> </w:t>
      </w:r>
      <w:r w:rsidR="003D733D">
        <w:rPr>
          <w:color w:val="000000" w:themeColor="text1"/>
        </w:rPr>
        <w:t>Principal pode processar pedidos de leitura e escrita da aplicação.</w:t>
      </w:r>
    </w:p>
    <w:p w14:paraId="5425B8BB" w14:textId="080748CD" w:rsidR="003D733D" w:rsidRPr="00ED4527" w:rsidRDefault="00380305" w:rsidP="00F01ED6">
      <w:pPr>
        <w:pStyle w:val="ProductList-Body"/>
        <w:rPr>
          <w:color w:val="000000" w:themeColor="text1"/>
        </w:rPr>
      </w:pPr>
      <w:r>
        <w:rPr>
          <w:color w:val="000000" w:themeColor="text1"/>
        </w:rPr>
        <w:t>“</w:t>
      </w:r>
      <w:r w:rsidR="003D733D">
        <w:rPr>
          <w:b/>
          <w:bCs/>
          <w:color w:val="00188F"/>
        </w:rPr>
        <w:t>Secundária</w:t>
      </w:r>
      <w:r>
        <w:rPr>
          <w:color w:val="000000" w:themeColor="text1"/>
        </w:rPr>
        <w:t>”</w:t>
      </w:r>
      <w:r w:rsidR="003D733D">
        <w:rPr>
          <w:color w:val="000000" w:themeColor="text1"/>
        </w:rPr>
        <w:t xml:space="preserve"> designa qualquer Base de Dados que mantém uma relação de georreplicação assíncrona com um Principal noutra região do Azure e</w:t>
      </w:r>
      <w:r w:rsidR="000401F7">
        <w:rPr>
          <w:color w:val="000000" w:themeColor="text1"/>
        </w:rPr>
        <w:t> </w:t>
      </w:r>
      <w:r w:rsidR="003D733D">
        <w:rPr>
          <w:color w:val="000000" w:themeColor="text1"/>
        </w:rPr>
        <w:t>pode ser utilizada como alvo de ativação pós-falha. A Secundária pode processar pedidos de só de leitura das aplicações.</w:t>
      </w:r>
    </w:p>
    <w:p w14:paraId="462CAE1B" w14:textId="659EF992" w:rsidR="003D733D" w:rsidRPr="003B474A" w:rsidRDefault="00380305" w:rsidP="00F01ED6">
      <w:pPr>
        <w:pStyle w:val="ProductList-Body"/>
        <w:rPr>
          <w:color w:val="000000" w:themeColor="text1"/>
          <w:spacing w:val="-2"/>
        </w:rPr>
      </w:pPr>
      <w:r>
        <w:rPr>
          <w:color w:val="000000" w:themeColor="text1"/>
          <w:spacing w:val="-2"/>
        </w:rPr>
        <w:t>“</w:t>
      </w:r>
      <w:r w:rsidR="003D733D" w:rsidRPr="003B474A">
        <w:rPr>
          <w:b/>
          <w:bCs/>
          <w:color w:val="00188F"/>
          <w:spacing w:val="-2"/>
        </w:rPr>
        <w:t>Secundária Compatível</w:t>
      </w:r>
      <w:r>
        <w:rPr>
          <w:color w:val="000000" w:themeColor="text1"/>
          <w:spacing w:val="-2"/>
        </w:rPr>
        <w:t>”</w:t>
      </w:r>
      <w:r w:rsidR="003D733D" w:rsidRPr="003B474A">
        <w:rPr>
          <w:color w:val="000000" w:themeColor="text1"/>
          <w:spacing w:val="-2"/>
        </w:rPr>
        <w:t xml:space="preserve"> designa qualquer Secundária que seja criada com a mesma configuração e no mesmo nível de serviço que a Principal. Se a Secundária for criada num conjunto elástico, considera-se como Em Conformidade se ambas as Principais e as Secundárias forem criadas em conjuntos elásticos com configurações correspondentes e com densidade que não exceda 250 bases de dados para uma configuração em conformidade.</w:t>
      </w:r>
    </w:p>
    <w:p w14:paraId="3B202949" w14:textId="0F92E510" w:rsidR="003D733D" w:rsidRPr="00ED4527" w:rsidRDefault="00EE6E3C" w:rsidP="00F01ED6">
      <w:pPr>
        <w:pStyle w:val="ProductList-Body"/>
        <w:spacing w:before="120"/>
        <w:rPr>
          <w:b/>
          <w:bCs/>
          <w:color w:val="00188F"/>
        </w:rPr>
      </w:pPr>
      <w:r>
        <w:rPr>
          <w:b/>
          <w:bCs/>
          <w:color w:val="00188F"/>
        </w:rPr>
        <w:t>Cálculo do Período de Disponibilidade e Níveis de Serviço para o Serviço de Base de Dados SQL do Azure</w:t>
      </w:r>
    </w:p>
    <w:p w14:paraId="5BDCA970" w14:textId="16D601A2" w:rsidR="003D733D" w:rsidRDefault="00380305" w:rsidP="00F01ED6">
      <w:pPr>
        <w:pStyle w:val="ProductList-Body"/>
      </w:pPr>
      <w:r>
        <w:t>“</w:t>
      </w:r>
      <w:r w:rsidR="003D733D">
        <w:rPr>
          <w:b/>
          <w:bCs/>
          <w:color w:val="00188F"/>
        </w:rPr>
        <w:t>Minutos de Implementação</w:t>
      </w:r>
      <w:r>
        <w:t>”</w:t>
      </w:r>
      <w:r w:rsidR="003D733D">
        <w:t xml:space="preserve"> designa o número total de minutos durante os quais uma determinada Base de Dados esteve operacional no Microsoft Azure durante um Período Aplicável.</w:t>
      </w:r>
    </w:p>
    <w:p w14:paraId="3B5D1850" w14:textId="511CE62D" w:rsidR="003D733D" w:rsidRPr="00EF7CF9" w:rsidRDefault="00380305" w:rsidP="00F01ED6">
      <w:pPr>
        <w:pStyle w:val="ProductList-Body"/>
      </w:pPr>
      <w:r>
        <w:t>“</w:t>
      </w:r>
      <w:r w:rsidR="003D733D">
        <w:rPr>
          <w:b/>
          <w:color w:val="00188F"/>
        </w:rPr>
        <w:t>Máximo de Minutos Disponíveis</w:t>
      </w:r>
      <w:r>
        <w:t>”</w:t>
      </w:r>
      <w:r w:rsidR="003D733D">
        <w:t xml:space="preserve"> designa a soma de todos os Minutos de Implementação numa determinada subscrição do Microsoft Azure durante um Período Aplicável.</w:t>
      </w:r>
    </w:p>
    <w:p w14:paraId="7D7A7ABE" w14:textId="5C774C3D" w:rsidR="003D733D" w:rsidRPr="00EF7CF9" w:rsidRDefault="003D733D" w:rsidP="00F01ED6">
      <w:pPr>
        <w:pStyle w:val="ProductList-Body"/>
      </w:pPr>
      <w:r>
        <w:rPr>
          <w:b/>
          <w:color w:val="00188F"/>
        </w:rPr>
        <w:t>Período de Indisponibilidade</w:t>
      </w:r>
      <w:r w:rsidRPr="00473DD3">
        <w:rPr>
          <w:b/>
          <w:color w:val="00188F"/>
        </w:rPr>
        <w:t>:</w:t>
      </w:r>
      <w:r>
        <w:t xml:space="preserve"> é o total de Minutos de Implementação acumulados em todas as Bases de Dados numa determinada subscrição do</w:t>
      </w:r>
      <w:r w:rsidR="00D72A39">
        <w:t> </w:t>
      </w:r>
      <w:r>
        <w:t>Microsoft Azure durante os quais a Base de Dados está indisponível.</w:t>
      </w:r>
      <w:r w:rsidR="000514F4">
        <w:t xml:space="preserve"> </w:t>
      </w:r>
      <w:r>
        <w:t>Um minuto é considerado indisponível para uma determinada Base de Dados se falharem todas as tentativas contínuas por parte do Cliente para estabelecer uma ligação com a Base de Dados nesse minuto falharem.</w:t>
      </w:r>
    </w:p>
    <w:p w14:paraId="5EC3C860" w14:textId="33D64972" w:rsidR="003D733D" w:rsidRPr="003B474A" w:rsidRDefault="00AC48A7" w:rsidP="00F01ED6">
      <w:pPr>
        <w:pStyle w:val="ProductList-Body"/>
        <w:rPr>
          <w:spacing w:val="-3"/>
        </w:rPr>
      </w:pPr>
      <w:r w:rsidRPr="003B474A">
        <w:rPr>
          <w:b/>
          <w:color w:val="00188F"/>
          <w:spacing w:val="-3"/>
        </w:rPr>
        <w:t>Percentagem de Período de Disponibilidade</w:t>
      </w:r>
      <w:r w:rsidRPr="00473DD3">
        <w:rPr>
          <w:b/>
          <w:color w:val="00188F"/>
          <w:spacing w:val="-3"/>
        </w:rPr>
        <w:t>:</w:t>
      </w:r>
      <w:r w:rsidRPr="003B474A">
        <w:rPr>
          <w:spacing w:val="-3"/>
        </w:rPr>
        <w:t xml:space="preserve"> para uma determinada Base de Dados é calculada como o Máximo de Minutos Disponíveis menos o Período de Indisponibilidade a dividir pelo Máximo de Minutos Disponíveis num Período Aplicável para uma determinada subscrição do Microsoft Azure. </w:t>
      </w:r>
    </w:p>
    <w:p w14:paraId="17EB06BC" w14:textId="3ECC64E5" w:rsidR="003D733D" w:rsidRPr="00EF7CF9" w:rsidRDefault="003D733D" w:rsidP="00F01ED6">
      <w:pPr>
        <w:pStyle w:val="ProductList-Body"/>
      </w:pPr>
      <w:r>
        <w:t>A Percentagem de Período de Disponibilidade é calculada através da seguinte fórmula:</w:t>
      </w:r>
    </w:p>
    <w:p w14:paraId="2E6E1771" w14:textId="77777777" w:rsidR="003D733D" w:rsidRPr="00DC1476" w:rsidRDefault="003D733D" w:rsidP="00F01ED6">
      <w:pPr>
        <w:pStyle w:val="ProductList-Body"/>
        <w:rPr>
          <w:szCs w:val="18"/>
        </w:rPr>
      </w:pPr>
    </w:p>
    <w:bookmarkStart w:id="375" w:name="_Hlk119330778"/>
    <w:p w14:paraId="508605EB" w14:textId="2908009E" w:rsidR="003D733D"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bookmarkEnd w:id="375"/>
    <w:p w14:paraId="6F38870D" w14:textId="77777777" w:rsidR="003512B3" w:rsidRPr="001D33C6" w:rsidRDefault="003512B3" w:rsidP="003512B3">
      <w:pPr>
        <w:pStyle w:val="ProductList-Body"/>
        <w:rPr>
          <w:rFonts w:ascii="Calibri" w:hAnsi="Calibri" w:cs="Calibri"/>
        </w:rPr>
      </w:pPr>
      <w:r>
        <w:rPr>
          <w:rFonts w:ascii="Calibri" w:hAnsi="Calibri" w:cs="Calibri"/>
          <w:b/>
          <w:color w:val="00188F"/>
        </w:rPr>
        <w:t>Aplicam-se os seguintes Níveis de Serviço e Créditos de Serviço à utilização por parte do Cliente das camadas Fins Gerais, Crítico para a Empresa, Premium ou Hyperscale do Serviço de Base de Dados SQL configurado para as Implementações Redundantes por Zona</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AC2365">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284BDF2" w14:textId="77777777" w:rsidR="003D733D" w:rsidRPr="00EF7CF9" w:rsidRDefault="003D733D" w:rsidP="00AC2365">
            <w:pPr>
              <w:pStyle w:val="ProductList-OfferingBody"/>
              <w:keepNext/>
              <w:keepLines/>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AC2365">
            <w:pPr>
              <w:pStyle w:val="ProductList-OfferingBody"/>
              <w:keepNext/>
              <w:keepLines/>
              <w:jc w:val="center"/>
            </w:pPr>
            <w:r>
              <w:t>&lt; 99,995%</w:t>
            </w:r>
          </w:p>
        </w:tc>
        <w:tc>
          <w:tcPr>
            <w:tcW w:w="5400" w:type="dxa"/>
          </w:tcPr>
          <w:p w14:paraId="0B1D8BBB" w14:textId="77777777" w:rsidR="003D733D" w:rsidRPr="00EF7CF9" w:rsidRDefault="003D733D" w:rsidP="00AC2365">
            <w:pPr>
              <w:pStyle w:val="ProductList-OfferingBody"/>
              <w:keepNext/>
              <w:keepLines/>
              <w:jc w:val="center"/>
            </w:pPr>
            <w:r>
              <w:t>10%</w:t>
            </w:r>
          </w:p>
        </w:tc>
      </w:tr>
      <w:tr w:rsidR="003D733D" w:rsidRPr="00B44CF9" w14:paraId="42DE5CE5" w14:textId="77777777" w:rsidTr="00277097">
        <w:tc>
          <w:tcPr>
            <w:tcW w:w="5400" w:type="dxa"/>
          </w:tcPr>
          <w:p w14:paraId="45CCA7AF" w14:textId="77777777" w:rsidR="003D733D" w:rsidRPr="00EF7CF9" w:rsidRDefault="003D733D" w:rsidP="00AC2365">
            <w:pPr>
              <w:pStyle w:val="ProductList-OfferingBody"/>
              <w:keepNext/>
              <w:keepLines/>
              <w:jc w:val="center"/>
            </w:pPr>
            <w:r>
              <w:t>&lt; 99%</w:t>
            </w:r>
          </w:p>
        </w:tc>
        <w:tc>
          <w:tcPr>
            <w:tcW w:w="5400" w:type="dxa"/>
          </w:tcPr>
          <w:p w14:paraId="5749BCD7" w14:textId="77777777" w:rsidR="003D733D" w:rsidRPr="00EF7CF9" w:rsidRDefault="003D733D" w:rsidP="00AC2365">
            <w:pPr>
              <w:pStyle w:val="ProductList-OfferingBody"/>
              <w:keepNext/>
              <w:keepLines/>
              <w:jc w:val="center"/>
            </w:pPr>
            <w:r>
              <w:t>25%</w:t>
            </w:r>
          </w:p>
        </w:tc>
      </w:tr>
      <w:tr w:rsidR="003D733D" w:rsidRPr="00B44CF9" w14:paraId="7633BE7C" w14:textId="77777777" w:rsidTr="00277097">
        <w:tc>
          <w:tcPr>
            <w:tcW w:w="5400" w:type="dxa"/>
          </w:tcPr>
          <w:p w14:paraId="679EA065" w14:textId="77777777" w:rsidR="003D733D" w:rsidRPr="00EF7CF9" w:rsidRDefault="003D733D" w:rsidP="00AC2365">
            <w:pPr>
              <w:pStyle w:val="ProductList-OfferingBody"/>
              <w:keepNext/>
              <w:keepLines/>
              <w:jc w:val="center"/>
            </w:pPr>
            <w:r>
              <w:t>&lt; 95%</w:t>
            </w:r>
          </w:p>
        </w:tc>
        <w:tc>
          <w:tcPr>
            <w:tcW w:w="5400" w:type="dxa"/>
          </w:tcPr>
          <w:p w14:paraId="4B7C2F69" w14:textId="77777777" w:rsidR="003D733D" w:rsidRPr="00EF7CF9" w:rsidRDefault="003D733D" w:rsidP="00AC2365">
            <w:pPr>
              <w:pStyle w:val="ProductList-OfferingBody"/>
              <w:keepNext/>
              <w:keepLines/>
              <w:jc w:val="center"/>
            </w:pPr>
            <w:r>
              <w:t>100%</w:t>
            </w:r>
          </w:p>
        </w:tc>
      </w:tr>
    </w:tbl>
    <w:p w14:paraId="3A1F981A" w14:textId="77777777" w:rsidR="003D733D" w:rsidRPr="00EF7CF9" w:rsidRDefault="003D733D" w:rsidP="00F01ED6">
      <w:pPr>
        <w:pStyle w:val="ProductList-Body"/>
        <w:spacing w:before="120"/>
      </w:pPr>
      <w:bookmarkStart w:id="376" w:name="_Toc457821579"/>
      <w:r>
        <w:rPr>
          <w:b/>
          <w:color w:val="00188F"/>
        </w:rPr>
        <w:t>Aplicam-se os seguintes Níveis de Serviço e Créditos de Serviço à utilização, por parte do Cliente, das camadas Hyperscale, Crítico para a Empresa, Premium ou Fins Gerais do Serviço de Base de Dados SQL não configurado para Implementações Redundantes por Zona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793296"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F01ED6">
            <w:pPr>
              <w:pStyle w:val="ProductList-OfferingBody"/>
              <w:jc w:val="center"/>
            </w:pPr>
            <w:r>
              <w:t>&lt; 99,99%</w:t>
            </w:r>
          </w:p>
        </w:tc>
        <w:tc>
          <w:tcPr>
            <w:tcW w:w="5400" w:type="dxa"/>
          </w:tcPr>
          <w:p w14:paraId="4DFB8C8D" w14:textId="77777777" w:rsidR="003D733D" w:rsidRPr="00EF7CF9" w:rsidRDefault="003D733D" w:rsidP="00F01ED6">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F01ED6">
            <w:pPr>
              <w:pStyle w:val="ProductList-OfferingBody"/>
              <w:jc w:val="center"/>
            </w:pPr>
            <w:r>
              <w:t>&lt; 99%</w:t>
            </w:r>
          </w:p>
        </w:tc>
        <w:tc>
          <w:tcPr>
            <w:tcW w:w="5400" w:type="dxa"/>
          </w:tcPr>
          <w:p w14:paraId="2BFB6117" w14:textId="77777777" w:rsidR="003D733D" w:rsidRPr="00EF7CF9" w:rsidRDefault="003D733D" w:rsidP="00F01ED6">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F01ED6">
            <w:pPr>
              <w:pStyle w:val="ProductList-OfferingBody"/>
              <w:jc w:val="center"/>
            </w:pPr>
            <w:r>
              <w:t>&lt; 95%</w:t>
            </w:r>
          </w:p>
        </w:tc>
        <w:tc>
          <w:tcPr>
            <w:tcW w:w="5400" w:type="dxa"/>
          </w:tcPr>
          <w:p w14:paraId="22378549" w14:textId="77777777" w:rsidR="003D733D" w:rsidRPr="00EF7CF9" w:rsidRDefault="003D733D" w:rsidP="00F01ED6">
            <w:pPr>
              <w:pStyle w:val="ProductList-OfferingBody"/>
              <w:jc w:val="center"/>
            </w:pPr>
            <w:r>
              <w:t>100%</w:t>
            </w:r>
          </w:p>
        </w:tc>
      </w:tr>
    </w:tbl>
    <w:p w14:paraId="0B33C745" w14:textId="77777777" w:rsidR="003D733D" w:rsidRPr="00EF7CF9" w:rsidRDefault="003D733D" w:rsidP="00F01ED6">
      <w:pPr>
        <w:pStyle w:val="ProductList-Body"/>
        <w:spacing w:before="120"/>
      </w:pPr>
      <w:r>
        <w:rPr>
          <w:b/>
          <w:color w:val="00188F"/>
        </w:rPr>
        <w:t>Os seguintes Níveis de Serviço e Créditos de Serviço são aplicáveis à utilização que o Cliente faz das camadas Basic ou Standard do Serviço de Base de Dados SQL</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6747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F01ED6">
            <w:pPr>
              <w:pStyle w:val="ProductList-OfferingBody"/>
              <w:jc w:val="center"/>
            </w:pPr>
            <w:r>
              <w:t>&lt; 99,99%</w:t>
            </w:r>
          </w:p>
        </w:tc>
        <w:tc>
          <w:tcPr>
            <w:tcW w:w="5400" w:type="dxa"/>
          </w:tcPr>
          <w:p w14:paraId="1E9E6B2D" w14:textId="77777777" w:rsidR="003D733D" w:rsidRPr="00EF7CF9" w:rsidRDefault="003D733D" w:rsidP="00F01ED6">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F01ED6">
            <w:pPr>
              <w:pStyle w:val="ProductList-OfferingBody"/>
              <w:jc w:val="center"/>
            </w:pPr>
            <w:r>
              <w:t>&lt; 99%</w:t>
            </w:r>
          </w:p>
        </w:tc>
        <w:tc>
          <w:tcPr>
            <w:tcW w:w="5400" w:type="dxa"/>
          </w:tcPr>
          <w:p w14:paraId="6EBE83BA" w14:textId="77777777" w:rsidR="003D733D" w:rsidRPr="00EF7CF9" w:rsidRDefault="003D733D" w:rsidP="00F01ED6">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F01ED6">
            <w:pPr>
              <w:pStyle w:val="ProductList-OfferingBody"/>
              <w:jc w:val="center"/>
            </w:pPr>
            <w:r>
              <w:t>&lt; 95%</w:t>
            </w:r>
          </w:p>
        </w:tc>
        <w:tc>
          <w:tcPr>
            <w:tcW w:w="5400" w:type="dxa"/>
          </w:tcPr>
          <w:p w14:paraId="49C88237" w14:textId="77777777" w:rsidR="003D733D" w:rsidRPr="00EF7CF9" w:rsidRDefault="003D733D" w:rsidP="00F01ED6">
            <w:pPr>
              <w:pStyle w:val="ProductList-OfferingBody"/>
              <w:jc w:val="center"/>
            </w:pPr>
            <w:r>
              <w:t>100%</w:t>
            </w:r>
          </w:p>
        </w:tc>
      </w:tr>
    </w:tbl>
    <w:p w14:paraId="08D86942" w14:textId="77777777" w:rsidR="003D733D" w:rsidRPr="00ED4527" w:rsidRDefault="003D733D" w:rsidP="00F01ED6">
      <w:pPr>
        <w:pStyle w:val="ProductList-Body"/>
        <w:spacing w:before="240"/>
        <w:rPr>
          <w:b/>
          <w:bCs/>
          <w:color w:val="00188F"/>
        </w:rPr>
      </w:pPr>
      <w:r>
        <w:rPr>
          <w:b/>
          <w:bCs/>
          <w:color w:val="00188F"/>
        </w:rPr>
        <w:t>Objetivo do ponto de recuperação (Recovery Point Objective, RPO)</w:t>
      </w:r>
    </w:p>
    <w:p w14:paraId="714AAD2A" w14:textId="5FF0F0EA" w:rsidR="003D733D" w:rsidRPr="008D4EC5" w:rsidRDefault="00380305" w:rsidP="00F01ED6">
      <w:pPr>
        <w:pStyle w:val="ProductList-Body"/>
        <w:rPr>
          <w:color w:val="000000" w:themeColor="text1"/>
        </w:rPr>
      </w:pPr>
      <w:r>
        <w:rPr>
          <w:color w:val="000000" w:themeColor="text1"/>
        </w:rPr>
        <w:t>“</w:t>
      </w:r>
      <w:r w:rsidR="003D733D">
        <w:rPr>
          <w:b/>
          <w:bCs/>
          <w:color w:val="00188F"/>
        </w:rPr>
        <w:t>Ligação de Georreplicação</w:t>
      </w:r>
      <w:r>
        <w:rPr>
          <w:color w:val="000000" w:themeColor="text1"/>
        </w:rPr>
        <w:t>”</w:t>
      </w:r>
      <w:r w:rsidR="003D733D">
        <w:rPr>
          <w:color w:val="000000" w:themeColor="text1"/>
        </w:rPr>
        <w:t xml:space="preserve"> é um objeto programático que representa uma ligação entre uma Principal específica e a Secundária.</w:t>
      </w:r>
    </w:p>
    <w:p w14:paraId="58E21A32" w14:textId="45D62B70" w:rsidR="003D733D" w:rsidRPr="008D4EC5" w:rsidRDefault="00380305" w:rsidP="00F01ED6">
      <w:pPr>
        <w:pStyle w:val="ProductList-Body"/>
        <w:rPr>
          <w:color w:val="000000" w:themeColor="text1"/>
        </w:rPr>
      </w:pPr>
      <w:r>
        <w:rPr>
          <w:color w:val="000000" w:themeColor="text1"/>
        </w:rPr>
        <w:t>“</w:t>
      </w:r>
      <w:r w:rsidR="003D733D">
        <w:rPr>
          <w:b/>
          <w:bCs/>
          <w:color w:val="00188F"/>
        </w:rPr>
        <w:t>Intervalo de Georreplicação</w:t>
      </w:r>
      <w:r>
        <w:rPr>
          <w:color w:val="000000" w:themeColor="text1"/>
        </w:rPr>
        <w:t>”</w:t>
      </w:r>
      <w:r w:rsidR="003D733D">
        <w:rPr>
          <w:color w:val="000000" w:themeColor="text1"/>
        </w:rPr>
        <w:t xml:space="preserve"> é um lapso de tempo decorrente desde que o ponto de transação é cometido na Principal e o reconhecimento, pela</w:t>
      </w:r>
      <w:r w:rsidR="00D73C82">
        <w:rPr>
          <w:color w:val="000000" w:themeColor="text1"/>
        </w:rPr>
        <w:t> </w:t>
      </w:r>
      <w:r w:rsidR="003D733D">
        <w:rPr>
          <w:color w:val="000000" w:themeColor="text1"/>
        </w:rPr>
        <w:t>Secundária, de que a atualização do registo de transações foi mantida.</w:t>
      </w:r>
    </w:p>
    <w:p w14:paraId="7513C667" w14:textId="38573EFD" w:rsidR="003D733D" w:rsidRPr="008D4EC5" w:rsidRDefault="00380305" w:rsidP="00F01ED6">
      <w:pPr>
        <w:pStyle w:val="ProductList-Body"/>
        <w:rPr>
          <w:color w:val="000000" w:themeColor="text1"/>
        </w:rPr>
      </w:pPr>
      <w:r>
        <w:rPr>
          <w:color w:val="000000" w:themeColor="text1"/>
        </w:rPr>
        <w:t>“</w:t>
      </w:r>
      <w:r w:rsidR="003D733D">
        <w:rPr>
          <w:b/>
          <w:bCs/>
          <w:color w:val="00188F"/>
        </w:rPr>
        <w:t>Verificação do Intervalo de Replicação</w:t>
      </w:r>
      <w:r>
        <w:rPr>
          <w:color w:val="000000" w:themeColor="text1"/>
        </w:rPr>
        <w:t>”</w:t>
      </w:r>
      <w:r w:rsidR="003D733D">
        <w:rPr>
          <w:color w:val="000000" w:themeColor="text1"/>
        </w:rPr>
        <w:t xml:space="preserve"> é um método programático utilizado para obter o valor do Intervalo de Georreplicação para uma Ligação de Georreplicação específica.</w:t>
      </w:r>
    </w:p>
    <w:p w14:paraId="12AF603F" w14:textId="10E79328" w:rsidR="003D733D" w:rsidRPr="008D4EC5" w:rsidRDefault="00380305" w:rsidP="00F01ED6">
      <w:pPr>
        <w:pStyle w:val="ProductList-Body"/>
        <w:rPr>
          <w:color w:val="000000" w:themeColor="text1"/>
        </w:rPr>
      </w:pPr>
      <w:r>
        <w:rPr>
          <w:color w:val="000000" w:themeColor="text1"/>
        </w:rPr>
        <w:t>“</w:t>
      </w:r>
      <w:r w:rsidR="003D733D">
        <w:rPr>
          <w:b/>
          <w:bCs/>
          <w:color w:val="00188F"/>
        </w:rPr>
        <w:t>Objetivo do Ponto de Recuperação (Recovery Point Objective, RPO)</w:t>
      </w:r>
      <w:r>
        <w:rPr>
          <w:color w:val="000000" w:themeColor="text1"/>
        </w:rPr>
        <w:t>”</w:t>
      </w:r>
      <w:r w:rsidR="003D733D">
        <w:rPr>
          <w:color w:val="000000" w:themeColor="text1"/>
        </w:rPr>
        <w:t xml:space="preserve"> designa um Intervalo de Georreplicação que não exceda 5 segundos.</w:t>
      </w:r>
    </w:p>
    <w:p w14:paraId="6D0C0A0E" w14:textId="1F95A0EB" w:rsidR="003D733D" w:rsidRPr="008D4EC5" w:rsidRDefault="00380305" w:rsidP="00F01ED6">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Verificações do Intervalo de Replicação para uma determinada Ligação de Georreplicação numa determinada hora.</w:t>
      </w:r>
    </w:p>
    <w:p w14:paraId="01EAABA2" w14:textId="7CE8D090" w:rsidR="003D733D" w:rsidRPr="008D4EC5" w:rsidRDefault="00380305" w:rsidP="00F01ED6">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dos resultados da Verificação de Intervalo de Replicação, classificados por intervalos e em ordem ascendente, para uma determinada Ligação de Georreplicação numa determinada hora.</w:t>
      </w:r>
    </w:p>
    <w:p w14:paraId="22C712BC" w14:textId="252FE04D" w:rsidR="003D733D" w:rsidRDefault="00380305" w:rsidP="00F01ED6">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utiliza o método de classificação mais próximo representado pela seguinte fórmula:</w:t>
      </w:r>
    </w:p>
    <w:p w14:paraId="4A268892" w14:textId="77777777" w:rsidR="003D733D" w:rsidRPr="00A72CAC" w:rsidRDefault="003D733D" w:rsidP="00F01ED6">
      <w:pPr>
        <w:pStyle w:val="ProductList-Body"/>
        <w:rPr>
          <w:color w:val="000000" w:themeColor="text1"/>
          <w:sz w:val="12"/>
          <w:szCs w:val="12"/>
        </w:rPr>
      </w:pPr>
    </w:p>
    <w:p w14:paraId="43522474" w14:textId="77777777" w:rsidR="003D733D"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DCEDB9F" w:rsidR="003D733D" w:rsidRPr="008D4EC5" w:rsidRDefault="00380305" w:rsidP="00F01ED6">
      <w:pPr>
        <w:pStyle w:val="ProductList-Body"/>
        <w:rPr>
          <w:color w:val="000000" w:themeColor="text1"/>
        </w:rPr>
      </w:pPr>
      <w:r>
        <w:rPr>
          <w:color w:val="000000" w:themeColor="text1"/>
        </w:rPr>
        <w:t>“</w:t>
      </w:r>
      <w:r w:rsidR="003D733D">
        <w:rPr>
          <w:b/>
          <w:bCs/>
          <w:color w:val="00188F"/>
        </w:rPr>
        <w:t>Intervalo de Replicação P99</w:t>
      </w:r>
      <w:r>
        <w:rPr>
          <w:color w:val="000000" w:themeColor="text1"/>
        </w:rPr>
        <w:t>”</w:t>
      </w:r>
      <w:r w:rsidR="003D733D">
        <w:rPr>
          <w:color w:val="000000" w:themeColor="text1"/>
        </w:rPr>
        <w:t xml:space="preserve"> é o valor da Classificação Ordinal de S.</w:t>
      </w:r>
    </w:p>
    <w:p w14:paraId="4BB7BC3D" w14:textId="173A9BD4" w:rsidR="003D733D" w:rsidRPr="008D4EC5" w:rsidRDefault="00380305" w:rsidP="00F01ED6">
      <w:pPr>
        <w:pStyle w:val="ProductList-Body"/>
        <w:rPr>
          <w:color w:val="000000" w:themeColor="text1"/>
        </w:rPr>
      </w:pPr>
      <w:r>
        <w:rPr>
          <w:color w:val="000000" w:themeColor="text1"/>
        </w:rPr>
        <w:t>“</w:t>
      </w:r>
      <w:r w:rsidR="003D733D">
        <w:rPr>
          <w:b/>
          <w:bCs/>
          <w:color w:val="00188F"/>
        </w:rPr>
        <w:t>Horas de implementação</w:t>
      </w:r>
      <w:r>
        <w:rPr>
          <w:color w:val="000000" w:themeColor="text1"/>
        </w:rPr>
        <w:t>”</w:t>
      </w:r>
      <w:r w:rsidR="003D733D">
        <w:rPr>
          <w:color w:val="000000" w:themeColor="text1"/>
        </w:rPr>
        <w:t xml:space="preserve"> é o número total de horas em que uma determinada Secundária Compatível esteve operacional para uma determinada subscrição do Microsoft Azure durante um Período Aplicável.</w:t>
      </w:r>
    </w:p>
    <w:p w14:paraId="62BD4640" w14:textId="171D3778" w:rsidR="003D733D" w:rsidRPr="008D4EC5" w:rsidRDefault="00380305" w:rsidP="00F01ED6">
      <w:pPr>
        <w:pStyle w:val="ProductList-Body"/>
        <w:rPr>
          <w:color w:val="000000" w:themeColor="text1"/>
        </w:rPr>
      </w:pPr>
      <w:r>
        <w:rPr>
          <w:color w:val="000000" w:themeColor="text1"/>
        </w:rPr>
        <w:t>“</w:t>
      </w:r>
      <w:r w:rsidR="003D733D">
        <w:rPr>
          <w:b/>
          <w:bCs/>
          <w:color w:val="00188F"/>
        </w:rPr>
        <w:t>Horas de Intervalo Excessivo</w:t>
      </w:r>
      <w:r>
        <w:rPr>
          <w:color w:val="000000" w:themeColor="text1"/>
        </w:rPr>
        <w:t>”</w:t>
      </w:r>
      <w:r w:rsidR="003D733D">
        <w:rPr>
          <w:color w:val="000000" w:themeColor="text1"/>
        </w:rPr>
        <w:t xml:space="preserve"> é o número total de intervalos de uma hora durante o qual a Verificação do Intervalo de Replicação resultou num</w:t>
      </w:r>
      <w:r w:rsidR="002315DB">
        <w:rPr>
          <w:color w:val="000000" w:themeColor="text1"/>
        </w:rPr>
        <w:t> </w:t>
      </w:r>
      <w:r w:rsidR="003D733D">
        <w:rPr>
          <w:color w:val="000000" w:themeColor="text1"/>
        </w:rPr>
        <w:t>Intervalo de Replicação P99 igual ou superior ao RPO para uma determinada subscrição do Microsoft Azure durante um Período Aplicável. Se</w:t>
      </w:r>
      <w:r w:rsidR="002315DB">
        <w:rPr>
          <w:color w:val="000000" w:themeColor="text1"/>
        </w:rPr>
        <w:t> </w:t>
      </w:r>
      <w:r w:rsidR="003D733D">
        <w:rPr>
          <w:color w:val="000000" w:themeColor="text1"/>
        </w:rPr>
        <w:t>o</w:t>
      </w:r>
      <w:r w:rsidR="00DC1476">
        <w:rPr>
          <w:color w:val="000000" w:themeColor="text1"/>
        </w:rPr>
        <w:t> </w:t>
      </w:r>
      <w:r w:rsidR="003D733D">
        <w:rPr>
          <w:color w:val="000000" w:themeColor="text1"/>
        </w:rPr>
        <w:t>número de Verificações do Intervalo de Replicação num determinado intervalo de uma hora for zero, as Horas de Intervalo Excessivo para esse</w:t>
      </w:r>
      <w:r w:rsidR="002315DB">
        <w:rPr>
          <w:color w:val="000000" w:themeColor="text1"/>
        </w:rPr>
        <w:t> </w:t>
      </w:r>
      <w:r w:rsidR="003D733D">
        <w:rPr>
          <w:color w:val="000000" w:themeColor="text1"/>
        </w:rPr>
        <w:t>intervalo serão de 0.</w:t>
      </w:r>
    </w:p>
    <w:p w14:paraId="123CFA24" w14:textId="30490B43" w:rsidR="003D733D" w:rsidRPr="00ED4527" w:rsidRDefault="003D733D" w:rsidP="00F01ED6">
      <w:pPr>
        <w:pStyle w:val="ProductList-Body"/>
        <w:tabs>
          <w:tab w:val="clear" w:pos="360"/>
          <w:tab w:val="clear" w:pos="720"/>
          <w:tab w:val="clear" w:pos="1080"/>
        </w:tabs>
        <w:rPr>
          <w:color w:val="000000" w:themeColor="text1"/>
        </w:rPr>
      </w:pPr>
      <w:r>
        <w:t xml:space="preserve">A </w:t>
      </w:r>
      <w:r w:rsidR="00380305">
        <w:rPr>
          <w:color w:val="000000" w:themeColor="text1"/>
        </w:rPr>
        <w:t>“</w:t>
      </w:r>
      <w:r>
        <w:rPr>
          <w:b/>
          <w:bCs/>
          <w:color w:val="00188F"/>
        </w:rPr>
        <w:t>Percentagem de realização de RPO</w:t>
      </w:r>
      <w:r w:rsidR="00380305">
        <w:rPr>
          <w:color w:val="000000" w:themeColor="text1"/>
        </w:rPr>
        <w:t>”</w:t>
      </w:r>
      <w:r>
        <w:rPr>
          <w:color w:val="000000" w:themeColor="text1"/>
        </w:rPr>
        <w:t xml:space="preserve"> para uma determinada implementação da Base de Dados num Período Aplicável é calculada utilizando a</w:t>
      </w:r>
      <w:r w:rsidR="00DC1476">
        <w:rPr>
          <w:color w:val="000000" w:themeColor="text1"/>
        </w:rPr>
        <w:t> </w:t>
      </w:r>
      <w:r>
        <w:rPr>
          <w:color w:val="000000" w:themeColor="text1"/>
        </w:rPr>
        <w:t>seguinte fórmula:</w:t>
      </w:r>
    </w:p>
    <w:p w14:paraId="4854F857" w14:textId="77777777" w:rsidR="003D733D" w:rsidRPr="00A72CAC" w:rsidRDefault="003D733D" w:rsidP="00F01ED6">
      <w:pPr>
        <w:pStyle w:val="ProductList-Body"/>
        <w:tabs>
          <w:tab w:val="clear" w:pos="360"/>
          <w:tab w:val="clear" w:pos="720"/>
          <w:tab w:val="clear" w:pos="1080"/>
        </w:tabs>
        <w:rPr>
          <w:color w:val="000000" w:themeColor="text1"/>
          <w:sz w:val="12"/>
          <w:szCs w:val="12"/>
        </w:rPr>
      </w:pPr>
    </w:p>
    <w:p w14:paraId="7EC80375" w14:textId="6873FDC3" w:rsidR="003D733D" w:rsidRPr="00EF7CF9" w:rsidRDefault="003D733D"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Horas de Atraso Excessivo</m:t>
              </m:r>
            </m:num>
            <m:den>
              <m:r>
                <m:rPr>
                  <m:nor/>
                </m:rPr>
                <w:rPr>
                  <w:rFonts w:ascii="Cambria Math" w:hAnsi="Cambria Math" w:cs="Tahoma"/>
                  <w:i/>
                  <w:sz w:val="18"/>
                  <w:szCs w:val="18"/>
                </w:rPr>
                <m:t>Horas de Implementação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40"/>
        <w:gridCol w:w="4500"/>
      </w:tblGrid>
      <w:tr w:rsidR="003D733D" w:rsidRPr="00B44CF9" w14:paraId="7C2E5E45" w14:textId="77777777" w:rsidTr="003B474A">
        <w:trPr>
          <w:tblHeader/>
        </w:trPr>
        <w:tc>
          <w:tcPr>
            <w:tcW w:w="1613" w:type="dxa"/>
            <w:shd w:val="clear" w:color="auto" w:fill="0072C6"/>
          </w:tcPr>
          <w:p w14:paraId="70F865C1"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F01ED6">
            <w:pPr>
              <w:pStyle w:val="ProductList-OfferingBody"/>
              <w:jc w:val="center"/>
              <w:rPr>
                <w:color w:val="FFFFFF" w:themeColor="background1"/>
              </w:rPr>
            </w:pPr>
            <w:r>
              <w:rPr>
                <w:color w:val="FFFFFF" w:themeColor="background1"/>
              </w:rPr>
              <w:t>RPO</w:t>
            </w:r>
          </w:p>
        </w:tc>
        <w:tc>
          <w:tcPr>
            <w:tcW w:w="3240" w:type="dxa"/>
            <w:shd w:val="clear" w:color="auto" w:fill="0072C6"/>
          </w:tcPr>
          <w:p w14:paraId="2283E325" w14:textId="06884C81" w:rsidR="003D733D" w:rsidRPr="00EF7CF9" w:rsidRDefault="003D733D" w:rsidP="00F01ED6">
            <w:pPr>
              <w:pStyle w:val="ProductList-OfferingBody"/>
              <w:jc w:val="center"/>
              <w:rPr>
                <w:color w:val="FFFFFF" w:themeColor="background1"/>
              </w:rPr>
            </w:pPr>
            <w:r>
              <w:rPr>
                <w:color w:val="FFFFFF" w:themeColor="background1"/>
              </w:rPr>
              <w:t>Percentagem de Realização de RPO</w:t>
            </w:r>
          </w:p>
        </w:tc>
        <w:tc>
          <w:tcPr>
            <w:tcW w:w="4500" w:type="dxa"/>
            <w:shd w:val="clear" w:color="auto" w:fill="0072C6"/>
          </w:tcPr>
          <w:p w14:paraId="38ADBCB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3B474A">
        <w:tc>
          <w:tcPr>
            <w:tcW w:w="1613" w:type="dxa"/>
            <w:vAlign w:val="center"/>
          </w:tcPr>
          <w:p w14:paraId="19E38570" w14:textId="77777777" w:rsidR="003D733D" w:rsidRPr="00EF7CF9" w:rsidRDefault="003D733D" w:rsidP="00F01ED6">
            <w:pPr>
              <w:pStyle w:val="ProductList-OfferingBody"/>
              <w:jc w:val="center"/>
            </w:pPr>
            <w:r>
              <w:t>Georreplicação</w:t>
            </w:r>
          </w:p>
        </w:tc>
        <w:tc>
          <w:tcPr>
            <w:tcW w:w="1447" w:type="dxa"/>
            <w:vAlign w:val="center"/>
          </w:tcPr>
          <w:p w14:paraId="4882E3A4" w14:textId="77777777" w:rsidR="003D733D" w:rsidRPr="00EF7CF9" w:rsidRDefault="003D733D" w:rsidP="00F01ED6">
            <w:pPr>
              <w:pStyle w:val="ProductList-OfferingBody"/>
              <w:jc w:val="center"/>
            </w:pPr>
            <w:r>
              <w:t>5 segundos</w:t>
            </w:r>
          </w:p>
        </w:tc>
        <w:tc>
          <w:tcPr>
            <w:tcW w:w="3240" w:type="dxa"/>
            <w:vAlign w:val="center"/>
          </w:tcPr>
          <w:p w14:paraId="6063EF21" w14:textId="77777777" w:rsidR="003D733D" w:rsidRPr="00EF7CF9" w:rsidRDefault="003D733D" w:rsidP="00F01ED6">
            <w:pPr>
              <w:pStyle w:val="ProductList-OfferingBody"/>
              <w:jc w:val="center"/>
            </w:pPr>
            <w:r>
              <w:t>&lt; 100%</w:t>
            </w:r>
          </w:p>
        </w:tc>
        <w:tc>
          <w:tcPr>
            <w:tcW w:w="4500" w:type="dxa"/>
            <w:vAlign w:val="center"/>
          </w:tcPr>
          <w:p w14:paraId="74D9BC0C" w14:textId="35EBB4C0" w:rsidR="003D733D" w:rsidRPr="00EF7CF9" w:rsidRDefault="003D733D" w:rsidP="00F01ED6">
            <w:pPr>
              <w:pStyle w:val="ProductList-OfferingBody"/>
              <w:jc w:val="center"/>
            </w:pPr>
            <w:r>
              <w:t>10% do custo total do Período Aplicável da Secundária Compatível</w:t>
            </w:r>
          </w:p>
        </w:tc>
      </w:tr>
    </w:tbl>
    <w:p w14:paraId="626616AF" w14:textId="77777777" w:rsidR="003D733D" w:rsidRPr="00ED4527" w:rsidRDefault="003D733D" w:rsidP="00A72CAC">
      <w:pPr>
        <w:pStyle w:val="ProductList-Body"/>
        <w:spacing w:before="120"/>
        <w:rPr>
          <w:b/>
          <w:bCs/>
          <w:color w:val="00188F"/>
        </w:rPr>
      </w:pPr>
      <w:r>
        <w:rPr>
          <w:b/>
          <w:bCs/>
          <w:color w:val="00188F"/>
        </w:rPr>
        <w:t>Objetivo de Tempo de Recuperação (RTO)</w:t>
      </w:r>
    </w:p>
    <w:p w14:paraId="018124D3" w14:textId="5E026EFA"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Ativação Pós-Falha Não Planeada</w:t>
      </w:r>
      <w:r>
        <w:rPr>
          <w:color w:val="000000" w:themeColor="text1"/>
          <w:spacing w:val="-3"/>
        </w:rPr>
        <w:t>”</w:t>
      </w:r>
      <w:r w:rsidR="003D733D" w:rsidRPr="003B474A">
        <w:rPr>
          <w:color w:val="000000" w:themeColor="text1"/>
          <w:spacing w:val="-3"/>
        </w:rPr>
        <w:t xml:space="preserve"> é uma ação iniciada pelo Cliente quando a Principal está offline para ativar uma Secundária Compatível como Principal.</w:t>
      </w:r>
    </w:p>
    <w:p w14:paraId="526E5FAF" w14:textId="68D75187" w:rsidR="003D733D" w:rsidRPr="009A2713" w:rsidRDefault="00380305" w:rsidP="00F01ED6">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desde a Ativação Pós-Falha Não Planeada até que a Secundária esteja a agir como Principal.</w:t>
      </w:r>
    </w:p>
    <w:p w14:paraId="6F599CC8" w14:textId="558C14B6"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Objetivo do Tempo de Recuperação (Recovery Time Objective, RTO)</w:t>
      </w:r>
      <w:r>
        <w:rPr>
          <w:color w:val="000000" w:themeColor="text1"/>
          <w:spacing w:val="-3"/>
        </w:rPr>
        <w:t>”</w:t>
      </w:r>
      <w:r w:rsidR="003D733D" w:rsidRPr="003B474A">
        <w:rPr>
          <w:color w:val="000000" w:themeColor="text1"/>
          <w:spacing w:val="-3"/>
        </w:rPr>
        <w:t xml:space="preserve"> designa o Tempo de Recuperação máximo permitido que não exceda 30 segundos.</w:t>
      </w:r>
    </w:p>
    <w:p w14:paraId="5BE092A6" w14:textId="258E2E23" w:rsidR="003D733D" w:rsidRPr="009A2713" w:rsidRDefault="00380305" w:rsidP="00F01ED6">
      <w:pPr>
        <w:pStyle w:val="ProductList-Body"/>
        <w:rPr>
          <w:color w:val="000000" w:themeColor="text1"/>
        </w:rPr>
      </w:pPr>
      <w:r>
        <w:rPr>
          <w:color w:val="000000" w:themeColor="text1"/>
        </w:rPr>
        <w:t>“</w:t>
      </w:r>
      <w:r w:rsidR="003D733D">
        <w:rPr>
          <w:b/>
          <w:bCs/>
          <w:color w:val="00188F"/>
        </w:rPr>
        <w:t>Ativação Pós-Falha Não Planeada Não Conforme</w:t>
      </w:r>
      <w:r>
        <w:rPr>
          <w:color w:val="000000" w:themeColor="text1"/>
        </w:rPr>
        <w:t>”</w:t>
      </w:r>
      <w:r w:rsidR="003D733D">
        <w:rPr>
          <w:color w:val="000000" w:themeColor="text1"/>
        </w:rPr>
        <w:t xml:space="preserve"> é uma Ativação Pós-Falha Não Planeada que não foi possível concluir no RTO.</w:t>
      </w:r>
    </w:p>
    <w:p w14:paraId="5166DD05" w14:textId="295FC069" w:rsidR="003D733D" w:rsidRPr="009A2713" w:rsidRDefault="00380305" w:rsidP="00DC1476">
      <w:pPr>
        <w:pStyle w:val="ProductList-Body"/>
        <w:keepNext/>
        <w:keepLines/>
        <w:tabs>
          <w:tab w:val="clear" w:pos="360"/>
          <w:tab w:val="clear" w:pos="720"/>
          <w:tab w:val="clear" w:pos="1080"/>
        </w:tabs>
        <w:rPr>
          <w:color w:val="000000" w:themeColor="text1"/>
        </w:rPr>
      </w:pPr>
      <w:r>
        <w:rPr>
          <w:color w:val="000000" w:themeColor="text1"/>
        </w:rPr>
        <w:t>“</w:t>
      </w:r>
      <w:r w:rsidR="003D733D">
        <w:rPr>
          <w:b/>
          <w:bCs/>
          <w:color w:val="00188F"/>
        </w:rPr>
        <w:t>Percentagem de Realização de RTO</w:t>
      </w:r>
      <w:r>
        <w:rPr>
          <w:color w:val="000000" w:themeColor="text1"/>
        </w:rPr>
        <w:t>”</w:t>
      </w:r>
      <w:r w:rsidR="003D733D">
        <w:rPr>
          <w:color w:val="000000" w:themeColor="text1"/>
        </w:rPr>
        <w:t xml:space="preserve"> para uma determinada implementação da Base de Dados, num Período Aplicável para uma determinada subscrição é representado pela seguinte fórmula:</w:t>
      </w:r>
    </w:p>
    <w:p w14:paraId="7239E62D" w14:textId="77777777" w:rsidR="003D733D" w:rsidRPr="00A72CAC" w:rsidRDefault="003D733D" w:rsidP="00DC1476">
      <w:pPr>
        <w:pStyle w:val="ProductList-Body"/>
        <w:keepNext/>
        <w:keepLines/>
        <w:tabs>
          <w:tab w:val="clear" w:pos="360"/>
          <w:tab w:val="clear" w:pos="720"/>
          <w:tab w:val="clear" w:pos="1080"/>
        </w:tabs>
        <w:rPr>
          <w:color w:val="000000" w:themeColor="text1"/>
          <w:sz w:val="12"/>
          <w:szCs w:val="12"/>
        </w:rPr>
      </w:pPr>
    </w:p>
    <w:p w14:paraId="324032A0" w14:textId="704F822E" w:rsidR="003D733D"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Ativações Pós-falha Não Planeadas - Número Total de Ativações Pós-falha Não Planeadas Não Conformes</m:t>
              </m:r>
            </m:num>
            <m:den>
              <m:r>
                <m:rPr>
                  <m:nor/>
                </m:rPr>
                <w:rPr>
                  <w:rFonts w:ascii="Cambria Math" w:hAnsi="Cambria Math" w:cs="Tahoma"/>
                  <w:i/>
                  <w:sz w:val="18"/>
                  <w:szCs w:val="18"/>
                </w:rPr>
                <m:t>Número Total de Ativações Pós-falha Não Planeadas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de serviço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F01ED6">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F01ED6">
            <w:pPr>
              <w:pStyle w:val="ProductList-OfferingBody"/>
              <w:jc w:val="center"/>
              <w:rPr>
                <w:color w:val="FFFFFF" w:themeColor="background1"/>
              </w:rPr>
            </w:pPr>
            <w:r>
              <w:rPr>
                <w:color w:val="FFFFFF" w:themeColor="background1"/>
              </w:rPr>
              <w:t>Percentagem de Realização de RTO</w:t>
            </w:r>
          </w:p>
        </w:tc>
        <w:tc>
          <w:tcPr>
            <w:tcW w:w="3600" w:type="dxa"/>
            <w:shd w:val="clear" w:color="auto" w:fill="0072C6"/>
          </w:tcPr>
          <w:p w14:paraId="1C5AC948"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13F64B98" w:rsidR="003D733D" w:rsidRPr="00EF7CF9" w:rsidRDefault="003D733D" w:rsidP="00F01ED6">
            <w:pPr>
              <w:pStyle w:val="ProductList-OfferingBody"/>
              <w:jc w:val="center"/>
            </w:pPr>
            <w:r>
              <w:t>Ativação Pós-Falha Não Planeada de</w:t>
            </w:r>
            <w:r w:rsidR="00383A94">
              <w:t> </w:t>
            </w:r>
            <w:r>
              <w:t>Uma</w:t>
            </w:r>
            <w:r w:rsidR="00383A94">
              <w:t> </w:t>
            </w:r>
            <w:r>
              <w:t>Base de Dados Individual</w:t>
            </w:r>
          </w:p>
        </w:tc>
        <w:tc>
          <w:tcPr>
            <w:tcW w:w="1440" w:type="dxa"/>
            <w:vAlign w:val="center"/>
          </w:tcPr>
          <w:p w14:paraId="5697F7F9" w14:textId="77777777" w:rsidR="003D733D" w:rsidRPr="00EF7CF9" w:rsidRDefault="003D733D" w:rsidP="00F01ED6">
            <w:pPr>
              <w:pStyle w:val="ProductList-OfferingBody"/>
              <w:jc w:val="center"/>
            </w:pPr>
            <w:r>
              <w:t>30 segundos</w:t>
            </w:r>
          </w:p>
        </w:tc>
        <w:tc>
          <w:tcPr>
            <w:tcW w:w="2880" w:type="dxa"/>
            <w:vAlign w:val="center"/>
          </w:tcPr>
          <w:p w14:paraId="1F10F6D5" w14:textId="77777777" w:rsidR="003D733D" w:rsidRPr="00EF7CF9" w:rsidRDefault="003D733D" w:rsidP="00F01ED6">
            <w:pPr>
              <w:pStyle w:val="ProductList-OfferingBody"/>
              <w:jc w:val="center"/>
            </w:pPr>
            <w:r>
              <w:t>&lt; 100%</w:t>
            </w:r>
          </w:p>
        </w:tc>
        <w:tc>
          <w:tcPr>
            <w:tcW w:w="3600" w:type="dxa"/>
            <w:vAlign w:val="center"/>
          </w:tcPr>
          <w:p w14:paraId="68DA0804" w14:textId="2EF7D757" w:rsidR="003D733D" w:rsidRPr="00EF7CF9" w:rsidRDefault="003D733D" w:rsidP="00F01ED6">
            <w:pPr>
              <w:pStyle w:val="ProductList-OfferingBody"/>
              <w:jc w:val="center"/>
            </w:pPr>
            <w:r>
              <w:t>100% do custo total do Período Aplicável da</w:t>
            </w:r>
            <w:r w:rsidR="001079F6">
              <w:t> </w:t>
            </w:r>
            <w:r>
              <w:t>Secundária Compatível</w:t>
            </w:r>
          </w:p>
        </w:tc>
      </w:tr>
    </w:tbl>
    <w:bookmarkEnd w:id="376"/>
    <w:p w14:paraId="1DFDE32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D682C45" w14:textId="77777777" w:rsidR="00C24853" w:rsidRPr="00C24853" w:rsidRDefault="00C24853" w:rsidP="00F01ED6">
      <w:pPr>
        <w:pStyle w:val="ProductList-Offering2Heading"/>
        <w:keepNext/>
        <w:tabs>
          <w:tab w:val="clear" w:pos="360"/>
          <w:tab w:val="clear" w:pos="720"/>
          <w:tab w:val="clear" w:pos="1080"/>
        </w:tabs>
        <w:outlineLvl w:val="2"/>
      </w:pPr>
      <w:bookmarkStart w:id="377" w:name="_Toc182409721"/>
      <w:r>
        <w:t>Azure SQL Managed Instance</w:t>
      </w:r>
      <w:bookmarkEnd w:id="377"/>
    </w:p>
    <w:p w14:paraId="207753A5" w14:textId="77777777" w:rsidR="00C24853" w:rsidRPr="007F34A9" w:rsidRDefault="00C24853" w:rsidP="00F01ED6">
      <w:pPr>
        <w:pStyle w:val="ProductList-Body"/>
        <w:rPr>
          <w:b/>
          <w:bCs/>
          <w:color w:val="00188F"/>
        </w:rPr>
      </w:pPr>
      <w:r>
        <w:rPr>
          <w:b/>
          <w:bCs/>
          <w:color w:val="00188F"/>
        </w:rPr>
        <w:t>Definições Adicionais</w:t>
      </w:r>
    </w:p>
    <w:p w14:paraId="1CD0AF18" w14:textId="330AEDF7" w:rsidR="00C24853" w:rsidRDefault="00380305" w:rsidP="00F01ED6">
      <w:pPr>
        <w:pStyle w:val="ProductList-Body"/>
      </w:pPr>
      <w:r>
        <w:t>“</w:t>
      </w:r>
      <w:r w:rsidR="00C24853">
        <w:rPr>
          <w:b/>
          <w:bCs/>
          <w:color w:val="00188F"/>
        </w:rPr>
        <w:t>Instância</w:t>
      </w:r>
      <w:r>
        <w:t>”</w:t>
      </w:r>
      <w:r w:rsidR="00C24853">
        <w:t xml:space="preserve"> designa qualquer Instância Gerida do Microsoft Azure SQL criada em qualquer uma das camadas de Serviço e implementada como uma instância única.</w:t>
      </w:r>
    </w:p>
    <w:p w14:paraId="1FEC54F7" w14:textId="3E7AD59C" w:rsidR="00C24853" w:rsidRDefault="00380305" w:rsidP="00F01ED6">
      <w:pPr>
        <w:pStyle w:val="ProductList-Body"/>
      </w:pPr>
      <w:r>
        <w:t>“</w:t>
      </w:r>
      <w:r w:rsidR="00C24853">
        <w:rPr>
          <w:b/>
          <w:bCs/>
          <w:color w:val="00188F"/>
        </w:rPr>
        <w:t>Configuração de Rede Compatível</w:t>
      </w:r>
      <w:r>
        <w:t>”</w:t>
      </w:r>
      <w:r w:rsidR="00C24853">
        <w:t xml:space="preserve"> designa um conjunto completo de configurações necessárias da Instância de alojamento da Rede Virtual do</w:t>
      </w:r>
      <w:r w:rsidR="00695F61">
        <w:t> </w:t>
      </w:r>
      <w:r w:rsidR="00C24853">
        <w:t>Microsoft Azure, incluindo as regras de segurança de entrada do Grupo de Segurança de Rede do Microsoft Azure e as Redes Definidas pelo Utilizador obrigatórias do Microsoft Azure da Instância de alojamento da Sub-rede da Rede Virtual do Microsoft Azure, o que permite um fluxo ininterrupto do trânsito de gestão e o tráfego de dados para o gateway dedicado colocado na instância de alojamento da Sub-rede da Rede Virtual</w:t>
      </w:r>
      <w:r w:rsidR="00695F61">
        <w:t> </w:t>
      </w:r>
      <w:r w:rsidR="00C24853">
        <w:t>do Microsoft Azure Virtual.</w:t>
      </w:r>
    </w:p>
    <w:p w14:paraId="14E0066B" w14:textId="0ED03A10" w:rsidR="00C24853" w:rsidRPr="007F34A9" w:rsidRDefault="00EE6E3C" w:rsidP="00F01ED6">
      <w:pPr>
        <w:pStyle w:val="ProductList-Body"/>
        <w:rPr>
          <w:b/>
          <w:bCs/>
          <w:color w:val="00188F"/>
        </w:rPr>
      </w:pPr>
      <w:r>
        <w:rPr>
          <w:b/>
          <w:bCs/>
          <w:color w:val="00188F"/>
        </w:rPr>
        <w:t>Cálculo do Período de Disponibilidade e Níveis de Serviço para o Serviço de Instância Gerida do SQL do Azure</w:t>
      </w:r>
    </w:p>
    <w:p w14:paraId="7162FAC1" w14:textId="1F04D9B1" w:rsidR="00C24853" w:rsidRDefault="00380305" w:rsidP="00F01ED6">
      <w:pPr>
        <w:pStyle w:val="ProductList-Body"/>
      </w:pPr>
      <w:r>
        <w:t>“</w:t>
      </w:r>
      <w:r w:rsidR="00C24853">
        <w:rPr>
          <w:b/>
          <w:bCs/>
          <w:color w:val="00188F"/>
        </w:rPr>
        <w:t>Minutos de Implementação</w:t>
      </w:r>
      <w:r>
        <w:t>”</w:t>
      </w:r>
      <w:r w:rsidR="00C24853">
        <w:t xml:space="preserve"> designa o número total de minutos durante os quais uma determinada Instância esteve operacional no Microsoft Azure durante um Período Aplicável.</w:t>
      </w:r>
    </w:p>
    <w:p w14:paraId="4F25D7E2" w14:textId="22E10190" w:rsidR="00C24853" w:rsidRDefault="00380305" w:rsidP="00F01ED6">
      <w:pPr>
        <w:pStyle w:val="ProductList-Body"/>
      </w:pPr>
      <w:r>
        <w:t>“</w:t>
      </w:r>
      <w:r w:rsidR="00C24853">
        <w:rPr>
          <w:b/>
          <w:bCs/>
          <w:color w:val="00188F"/>
        </w:rPr>
        <w:t>Máximo de Minutos Disponíveis</w:t>
      </w:r>
      <w:r>
        <w:t>”</w:t>
      </w:r>
      <w:r w:rsidR="00C24853">
        <w:t xml:space="preserve"> designa a soma de todos os Minutos de Implementação numa determinada subscrição do Microsoft Azure durante um Período Aplicável.</w:t>
      </w:r>
    </w:p>
    <w:p w14:paraId="67E0F7ED" w14:textId="490FB445" w:rsidR="00C24853" w:rsidRDefault="00380305" w:rsidP="00F01ED6">
      <w:pPr>
        <w:pStyle w:val="ProductList-Body"/>
      </w:pPr>
      <w:r>
        <w:t>“</w:t>
      </w:r>
      <w:r w:rsidR="00C24853">
        <w:rPr>
          <w:b/>
          <w:bCs/>
          <w:color w:val="00188F"/>
        </w:rPr>
        <w:t>Período de Indisponibilidade</w:t>
      </w:r>
      <w:r>
        <w:t>”</w:t>
      </w:r>
      <w:r w:rsidR="00C24853">
        <w:t xml:space="preserve"> designa o total de Minutos de Implementação acumulados em todas as Instâncias numa determinada subscrição do</w:t>
      </w:r>
      <w:r w:rsidR="003523CE">
        <w:t> </w:t>
      </w:r>
      <w:r w:rsidR="00C24853">
        <w:t>Microsoft Azure durante os quais a Instância está indisponível. Um minuto é considerado indisponível para uma determinada Instância se falharem todas as tentativas contínuas por parte do Cliente para estabelecer uma ligação com a Instância nesse minuto falharem.</w:t>
      </w:r>
    </w:p>
    <w:p w14:paraId="1DCEC456" w14:textId="2F526C48" w:rsidR="00C24853" w:rsidRDefault="00C24853" w:rsidP="00F01ED6">
      <w:pPr>
        <w:pStyle w:val="ProductList-Body"/>
      </w:pPr>
      <w:r>
        <w:t xml:space="preserve">A </w:t>
      </w:r>
      <w:r w:rsidR="00380305">
        <w:t>“</w:t>
      </w:r>
      <w:r>
        <w:rPr>
          <w:b/>
          <w:bCs/>
          <w:color w:val="00188F"/>
        </w:rPr>
        <w:t>Percentagem de Período de Disponibilidade</w:t>
      </w:r>
      <w:r w:rsidR="00380305">
        <w:t>”</w:t>
      </w:r>
      <w:r>
        <w:t xml:space="preserve"> para uma determinada Instância é calculada como o Máximo de Minutos Disponíveis menos o</w:t>
      </w:r>
      <w:r w:rsidR="003523CE">
        <w:t> </w:t>
      </w:r>
      <w:r>
        <w:t>Período de Indisponibilidade a dividir pelo Máximo de Minutos Disponíveis num Período Aplicável para uma determinada subscrição do Microsoft</w:t>
      </w:r>
      <w:r w:rsidR="003523CE">
        <w:t> </w:t>
      </w:r>
      <w:r>
        <w:t>Azure. A Percentagem de Período de Disponibilidade é representada pela seguinte fórmula:</w:t>
      </w:r>
    </w:p>
    <w:p w14:paraId="6648B189" w14:textId="77777777" w:rsidR="007F34A9" w:rsidRPr="00A72CAC" w:rsidRDefault="007F34A9" w:rsidP="00F01ED6">
      <w:pPr>
        <w:pStyle w:val="ProductList-Body"/>
        <w:rPr>
          <w:sz w:val="12"/>
          <w:szCs w:val="12"/>
        </w:rPr>
      </w:pPr>
    </w:p>
    <w:p w14:paraId="0DCFCAC9" w14:textId="559D5342" w:rsidR="007F34A9"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2D99B67" w14:textId="77777777" w:rsidR="00C24853" w:rsidRPr="007F34A9" w:rsidRDefault="00C24853" w:rsidP="00F01ED6">
      <w:pPr>
        <w:pStyle w:val="ProductList-Body"/>
        <w:rPr>
          <w:b/>
          <w:bCs/>
          <w:color w:val="00188F"/>
        </w:rPr>
      </w:pPr>
      <w:r>
        <w:rPr>
          <w:b/>
          <w:bCs/>
          <w:color w:val="00188F"/>
        </w:rPr>
        <w:t>Os seguintes Níveis de Serviço e Créditos de Serviço são aplicáveis à utilização, por parte do Cliente, da camada Crítico para a Empresa do Serviço de Instância Gerida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4DA664F" w14:textId="77777777" w:rsidR="007F34A9" w:rsidRPr="00EF7CF9" w:rsidRDefault="007F34A9" w:rsidP="00F01ED6">
            <w:pPr>
              <w:pStyle w:val="ProductList-OfferingBody"/>
              <w:jc w:val="center"/>
              <w:rPr>
                <w:color w:val="FFFFFF" w:themeColor="background1"/>
              </w:rPr>
            </w:pPr>
            <w:r>
              <w:rPr>
                <w:color w:val="FFFFFF" w:themeColor="background1"/>
              </w:rPr>
              <w:t>Crédito de Serviço</w:t>
            </w:r>
          </w:p>
        </w:tc>
      </w:tr>
      <w:tr w:rsidR="007F34A9" w:rsidRPr="00B44CF9" w14:paraId="5CD6570B" w14:textId="77777777" w:rsidTr="00277097">
        <w:tc>
          <w:tcPr>
            <w:tcW w:w="5400" w:type="dxa"/>
          </w:tcPr>
          <w:p w14:paraId="297966D3" w14:textId="77777777" w:rsidR="007F34A9" w:rsidRPr="00EF7CF9" w:rsidRDefault="007F34A9" w:rsidP="00F01ED6">
            <w:pPr>
              <w:pStyle w:val="ProductList-OfferingBody"/>
              <w:jc w:val="center"/>
            </w:pPr>
            <w:r>
              <w:t>&lt; 99,99%</w:t>
            </w:r>
          </w:p>
        </w:tc>
        <w:tc>
          <w:tcPr>
            <w:tcW w:w="5400" w:type="dxa"/>
          </w:tcPr>
          <w:p w14:paraId="316A79FB" w14:textId="77777777" w:rsidR="007F34A9" w:rsidRPr="00EF7CF9" w:rsidRDefault="007F34A9" w:rsidP="00F01ED6">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F01ED6">
            <w:pPr>
              <w:pStyle w:val="ProductList-OfferingBody"/>
              <w:jc w:val="center"/>
            </w:pPr>
            <w:r>
              <w:t>&lt; 99%</w:t>
            </w:r>
          </w:p>
        </w:tc>
        <w:tc>
          <w:tcPr>
            <w:tcW w:w="5400" w:type="dxa"/>
          </w:tcPr>
          <w:p w14:paraId="2165FA34" w14:textId="77777777" w:rsidR="007F34A9" w:rsidRPr="00EF7CF9" w:rsidRDefault="007F34A9" w:rsidP="00F01ED6">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F01ED6">
            <w:pPr>
              <w:pStyle w:val="ProductList-OfferingBody"/>
              <w:jc w:val="center"/>
            </w:pPr>
            <w:r>
              <w:t>&lt; 95%</w:t>
            </w:r>
          </w:p>
        </w:tc>
        <w:tc>
          <w:tcPr>
            <w:tcW w:w="5400" w:type="dxa"/>
          </w:tcPr>
          <w:p w14:paraId="096D30C2" w14:textId="77777777" w:rsidR="007F34A9" w:rsidRPr="00EF7CF9" w:rsidRDefault="007F34A9" w:rsidP="00F01ED6">
            <w:pPr>
              <w:pStyle w:val="ProductList-OfferingBody"/>
              <w:jc w:val="center"/>
            </w:pPr>
            <w:r>
              <w:t>100%</w:t>
            </w:r>
          </w:p>
        </w:tc>
      </w:tr>
    </w:tbl>
    <w:p w14:paraId="3FBBBDE4" w14:textId="77777777" w:rsidR="00C24853" w:rsidRPr="00D43447" w:rsidRDefault="00C24853" w:rsidP="00A72CAC">
      <w:pPr>
        <w:pStyle w:val="ProductList-Body"/>
        <w:spacing w:before="120"/>
        <w:rPr>
          <w:b/>
          <w:bCs/>
          <w:color w:val="00188F"/>
        </w:rPr>
      </w:pPr>
      <w:r>
        <w:rPr>
          <w:b/>
          <w:bCs/>
          <w:color w:val="00188F"/>
        </w:rPr>
        <w:t>Os seguintes Níveis de Serviço e Créditos de Serviço são aplicáveis à utilização, por parte do Cliente, da camada Fins Gerais do Serviço de Instância Gerida do SQL do Azure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549C66" w14:textId="77777777" w:rsidR="00D43447" w:rsidRPr="00EF7CF9" w:rsidRDefault="00D43447" w:rsidP="00F01ED6">
            <w:pPr>
              <w:pStyle w:val="ProductList-OfferingBody"/>
              <w:jc w:val="center"/>
              <w:rPr>
                <w:color w:val="FFFFFF" w:themeColor="background1"/>
              </w:rPr>
            </w:pPr>
            <w:r>
              <w:rPr>
                <w:color w:val="FFFFFF" w:themeColor="background1"/>
              </w:rPr>
              <w:t>Crédito de Serviço</w:t>
            </w:r>
          </w:p>
        </w:tc>
      </w:tr>
      <w:tr w:rsidR="00D43447" w:rsidRPr="00B44CF9" w14:paraId="7A34F568" w14:textId="77777777" w:rsidTr="00277097">
        <w:tc>
          <w:tcPr>
            <w:tcW w:w="5400" w:type="dxa"/>
          </w:tcPr>
          <w:p w14:paraId="7AAF48A3" w14:textId="77777777" w:rsidR="00D43447" w:rsidRPr="00EF7CF9" w:rsidRDefault="00D43447" w:rsidP="00F01ED6">
            <w:pPr>
              <w:pStyle w:val="ProductList-OfferingBody"/>
              <w:jc w:val="center"/>
            </w:pPr>
            <w:r>
              <w:t>&lt; 99,99%</w:t>
            </w:r>
          </w:p>
        </w:tc>
        <w:tc>
          <w:tcPr>
            <w:tcW w:w="5400" w:type="dxa"/>
          </w:tcPr>
          <w:p w14:paraId="31829904" w14:textId="77777777" w:rsidR="00D43447" w:rsidRPr="00EF7CF9" w:rsidRDefault="00D43447" w:rsidP="00F01ED6">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F01ED6">
            <w:pPr>
              <w:pStyle w:val="ProductList-OfferingBody"/>
              <w:jc w:val="center"/>
            </w:pPr>
            <w:r>
              <w:t>&lt; 99%</w:t>
            </w:r>
          </w:p>
        </w:tc>
        <w:tc>
          <w:tcPr>
            <w:tcW w:w="5400" w:type="dxa"/>
          </w:tcPr>
          <w:p w14:paraId="0A3C3278" w14:textId="77777777" w:rsidR="00D43447" w:rsidRPr="00EF7CF9" w:rsidRDefault="00D43447" w:rsidP="00F01ED6">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F01ED6">
            <w:pPr>
              <w:pStyle w:val="ProductList-OfferingBody"/>
              <w:jc w:val="center"/>
            </w:pPr>
            <w:r>
              <w:t>&lt; 95%</w:t>
            </w:r>
          </w:p>
        </w:tc>
        <w:tc>
          <w:tcPr>
            <w:tcW w:w="5400" w:type="dxa"/>
          </w:tcPr>
          <w:p w14:paraId="62747A6B" w14:textId="77777777" w:rsidR="00D43447" w:rsidRPr="00EF7CF9" w:rsidRDefault="00D43447" w:rsidP="00F01ED6">
            <w:pPr>
              <w:pStyle w:val="ProductList-OfferingBody"/>
              <w:jc w:val="center"/>
            </w:pPr>
            <w:r>
              <w:t>100%</w:t>
            </w:r>
          </w:p>
        </w:tc>
      </w:tr>
    </w:tbl>
    <w:bookmarkStart w:id="378" w:name="_Toc457821580"/>
    <w:bookmarkStart w:id="379" w:name="_Toc52348989"/>
    <w:bookmarkStart w:id="380" w:name="_Hlk119928622"/>
    <w:p w14:paraId="4D5A649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EC04000" w14:textId="77777777" w:rsidR="00B2562C" w:rsidRDefault="00B2562C">
      <w:pPr>
        <w:rPr>
          <w:rFonts w:asciiTheme="majorHAnsi" w:hAnsiTheme="majorHAnsi"/>
          <w:b/>
          <w:color w:val="0072C6"/>
          <w:sz w:val="28"/>
        </w:rPr>
      </w:pPr>
      <w:r>
        <w:br w:type="page"/>
      </w:r>
    </w:p>
    <w:p w14:paraId="6D234023" w14:textId="25288698" w:rsidR="0017060C" w:rsidRPr="00EF7CF9" w:rsidRDefault="0017060C" w:rsidP="00DC1476">
      <w:pPr>
        <w:pStyle w:val="ProductList-Offering2Heading"/>
        <w:keepNext/>
        <w:keepLines/>
        <w:tabs>
          <w:tab w:val="clear" w:pos="360"/>
          <w:tab w:val="clear" w:pos="720"/>
          <w:tab w:val="clear" w:pos="1080"/>
        </w:tabs>
        <w:outlineLvl w:val="2"/>
      </w:pPr>
      <w:bookmarkStart w:id="381" w:name="_Toc182409722"/>
      <w:r>
        <w:t>SQL Server Stretch Database</w:t>
      </w:r>
      <w:bookmarkEnd w:id="378"/>
      <w:bookmarkEnd w:id="379"/>
      <w:bookmarkEnd w:id="381"/>
    </w:p>
    <w:bookmarkEnd w:id="380"/>
    <w:p w14:paraId="7C606DFB" w14:textId="77777777" w:rsidR="0017060C" w:rsidRPr="00EF7CF9" w:rsidRDefault="0017060C" w:rsidP="00DC1476">
      <w:pPr>
        <w:pStyle w:val="ProductList-Body"/>
        <w:keepNext/>
        <w:keepLines/>
      </w:pPr>
      <w:r>
        <w:rPr>
          <w:b/>
          <w:color w:val="00188F"/>
        </w:rPr>
        <w:t>Definições Adicionais</w:t>
      </w:r>
      <w:r w:rsidRPr="00473DD3">
        <w:rPr>
          <w:b/>
          <w:color w:val="00188F"/>
        </w:rPr>
        <w:t>:</w:t>
      </w:r>
    </w:p>
    <w:p w14:paraId="1A682C59" w14:textId="4D488D59" w:rsidR="0017060C" w:rsidRPr="00EF7CF9" w:rsidRDefault="00380305" w:rsidP="00F01ED6">
      <w:pPr>
        <w:pStyle w:val="ProductList-Body"/>
      </w:pPr>
      <w:r>
        <w:t>“</w:t>
      </w:r>
      <w:r w:rsidR="0017060C">
        <w:rPr>
          <w:b/>
          <w:color w:val="00188F"/>
        </w:rPr>
        <w:t>Base de Dados</w:t>
      </w:r>
      <w:r>
        <w:t>”</w:t>
      </w:r>
      <w:r w:rsidR="0017060C">
        <w:t xml:space="preserve"> designa uma instância de SQL Server Stretch Database.</w:t>
      </w:r>
    </w:p>
    <w:p w14:paraId="297A170B" w14:textId="40E5D781" w:rsidR="0017060C" w:rsidRPr="00EF7CF9" w:rsidRDefault="00380305" w:rsidP="00F01ED6">
      <w:pPr>
        <w:pStyle w:val="ProductList-Body"/>
      </w:pPr>
      <w:r>
        <w:t>“</w:t>
      </w:r>
      <w:r w:rsidR="0017060C">
        <w:rPr>
          <w:b/>
          <w:color w:val="00188F"/>
        </w:rPr>
        <w:t>Máximo de Minutos Disponíveis</w:t>
      </w:r>
      <w:r>
        <w:t>”</w:t>
      </w:r>
      <w:r w:rsidR="0017060C">
        <w:t xml:space="preserve"> designa o número total de minutos durante os quais uma determinada Base de Dados foi implementada numa determinada subscrição do Microsoft Azure durante um Período Aplicável.</w:t>
      </w:r>
    </w:p>
    <w:p w14:paraId="4BD2CA20" w14:textId="3CC6DAFB" w:rsidR="0017060C" w:rsidRPr="003B474A" w:rsidRDefault="0017060C" w:rsidP="00F01ED6">
      <w:pPr>
        <w:pStyle w:val="ProductList-Body"/>
        <w:rPr>
          <w:spacing w:val="-3"/>
        </w:rPr>
      </w:pPr>
      <w:r w:rsidRPr="003B474A">
        <w:rPr>
          <w:b/>
          <w:color w:val="00188F"/>
          <w:spacing w:val="-3"/>
        </w:rPr>
        <w:t>Período de Indisponibilidade</w:t>
      </w:r>
      <w:r w:rsidRPr="00473DD3">
        <w:rPr>
          <w:b/>
          <w:color w:val="00188F"/>
          <w:spacing w:val="-3"/>
        </w:rPr>
        <w:t>:</w:t>
      </w:r>
      <w:r w:rsidRPr="003B474A">
        <w:rPr>
          <w:spacing w:val="-3"/>
        </w:rPr>
        <w:t xml:space="preserve"> designa o total de minutos acumulados em todas as Bases de Dados implementadas pelo Cliente numa determinada subscrição do Microsoft Azure durante os quais a Base de Dados está indisponível. Um minuto é considerado indisponível para uma determinada Base de</w:t>
      </w:r>
      <w:r w:rsidR="003B474A">
        <w:rPr>
          <w:spacing w:val="-3"/>
        </w:rPr>
        <w:t> </w:t>
      </w:r>
      <w:r w:rsidRPr="003B474A">
        <w:rPr>
          <w:spacing w:val="-3"/>
        </w:rPr>
        <w:t>Dados se falharem todas as tentativas contínuas por parte do Cliente para estabelecer uma ligação com a Base de Dados nesse minuto falharem.</w:t>
      </w:r>
    </w:p>
    <w:p w14:paraId="6E461F47" w14:textId="41F0DD57" w:rsidR="0017060C" w:rsidRDefault="00AC48A7" w:rsidP="007442E8">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7E27E8F" w14:textId="77777777" w:rsidR="007442E8" w:rsidRPr="007442E8" w:rsidRDefault="007442E8" w:rsidP="007442E8">
      <w:pPr>
        <w:pStyle w:val="ProductList-Body"/>
        <w:keepNext/>
      </w:pPr>
    </w:p>
    <w:p w14:paraId="132AD4B7" w14:textId="18681B6F" w:rsidR="0017060C" w:rsidRPr="00EF7CF9" w:rsidRDefault="00000000" w:rsidP="0084086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D2F35F0" w14:textId="77777777" w:rsidR="0017060C" w:rsidRPr="00EF7CF9" w:rsidRDefault="001706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1EF25" w14:textId="77777777" w:rsidR="0017060C" w:rsidRPr="00EF7CF9" w:rsidRDefault="0017060C" w:rsidP="00F01ED6">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F01ED6">
            <w:pPr>
              <w:pStyle w:val="ProductList-OfferingBody"/>
              <w:jc w:val="center"/>
            </w:pPr>
            <w:r>
              <w:t>&lt; 99,9%</w:t>
            </w:r>
          </w:p>
        </w:tc>
        <w:tc>
          <w:tcPr>
            <w:tcW w:w="5400" w:type="dxa"/>
          </w:tcPr>
          <w:p w14:paraId="1C6584C7" w14:textId="77777777" w:rsidR="0017060C" w:rsidRPr="00EF7CF9" w:rsidRDefault="0017060C" w:rsidP="00F01ED6">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F01ED6">
            <w:pPr>
              <w:pStyle w:val="ProductList-OfferingBody"/>
              <w:jc w:val="center"/>
            </w:pPr>
            <w:r>
              <w:t>&lt; 99%</w:t>
            </w:r>
          </w:p>
        </w:tc>
        <w:tc>
          <w:tcPr>
            <w:tcW w:w="5400" w:type="dxa"/>
          </w:tcPr>
          <w:p w14:paraId="15E605CE" w14:textId="77777777" w:rsidR="0017060C" w:rsidRPr="00EF7CF9" w:rsidRDefault="0017060C" w:rsidP="00F01ED6">
            <w:pPr>
              <w:pStyle w:val="ProductList-OfferingBody"/>
              <w:jc w:val="center"/>
            </w:pPr>
            <w:r>
              <w:t>25%</w:t>
            </w:r>
          </w:p>
        </w:tc>
      </w:tr>
    </w:tbl>
    <w:p w14:paraId="1228600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AABEE67" w14:textId="77777777" w:rsidR="0017060C" w:rsidRPr="0017060C" w:rsidRDefault="0017060C" w:rsidP="00F01ED6">
      <w:pPr>
        <w:pStyle w:val="ProductList-Offering2Heading"/>
        <w:keepNext/>
        <w:tabs>
          <w:tab w:val="clear" w:pos="360"/>
          <w:tab w:val="clear" w:pos="720"/>
          <w:tab w:val="clear" w:pos="1080"/>
        </w:tabs>
        <w:outlineLvl w:val="2"/>
      </w:pPr>
      <w:bookmarkStart w:id="382" w:name="_Toc182409723"/>
      <w:r>
        <w:t>Aplicações Web Estáticas</w:t>
      </w:r>
      <w:bookmarkEnd w:id="382"/>
    </w:p>
    <w:p w14:paraId="30E5D55D" w14:textId="77777777" w:rsidR="0017060C" w:rsidRPr="0017060C" w:rsidRDefault="0017060C" w:rsidP="00F01ED6">
      <w:pPr>
        <w:pStyle w:val="ProductList-Body"/>
        <w:rPr>
          <w:b/>
          <w:bCs/>
          <w:color w:val="00188F"/>
        </w:rPr>
      </w:pPr>
      <w:r>
        <w:rPr>
          <w:b/>
          <w:bCs/>
          <w:color w:val="00188F"/>
        </w:rPr>
        <w:t>Definições Adicionais</w:t>
      </w:r>
    </w:p>
    <w:p w14:paraId="7C3712A5" w14:textId="6E09EFE1" w:rsidR="0017060C" w:rsidRDefault="00380305" w:rsidP="00F01ED6">
      <w:pPr>
        <w:pStyle w:val="ProductList-Body"/>
      </w:pPr>
      <w:r>
        <w:t>“</w:t>
      </w:r>
      <w:r w:rsidR="0017060C">
        <w:rPr>
          <w:b/>
          <w:bCs/>
          <w:color w:val="00188F"/>
        </w:rPr>
        <w:t>Minutos de Implementação</w:t>
      </w:r>
      <w:r>
        <w:t>”</w:t>
      </w:r>
      <w:r w:rsidR="0017060C">
        <w:t xml:space="preserve"> designa o número total de minutos durante os quais uma determinada Aplicação foi definida para ser executada no Microsoft Azure durante um Período Aplicável. Os Minutos de Implementação são calculados a partir do momento em que a Aplicação foi criada ou</w:t>
      </w:r>
      <w:r w:rsidR="007674D1">
        <w:t> </w:t>
      </w:r>
      <w:r w:rsidR="0017060C">
        <w:t>o Cliente iniciou uma ação que resultaria na execução da Aplicação até ao momento em que o Cliente iniciou uma ação que resultaria na interrupção ou eliminação da Aplicação.</w:t>
      </w:r>
    </w:p>
    <w:p w14:paraId="2CF8C7A3" w14:textId="16C3989D" w:rsidR="0017060C" w:rsidRDefault="00380305" w:rsidP="00F01ED6">
      <w:pPr>
        <w:pStyle w:val="ProductList-Body"/>
      </w:pPr>
      <w:r>
        <w:t>“</w:t>
      </w:r>
      <w:r w:rsidR="0017060C">
        <w:rPr>
          <w:b/>
          <w:bCs/>
          <w:color w:val="00188F"/>
        </w:rPr>
        <w:t>Máximo de Minutos Disponíveis</w:t>
      </w:r>
      <w:r>
        <w:t>”</w:t>
      </w:r>
      <w:r w:rsidR="0017060C">
        <w:t xml:space="preserve"> designa a soma de todos os Minutos de Implementação em todas as Aplicações implementadas pelo Cliente numa determinada subscrição do Microsoft Azure durante um Período Aplicável.</w:t>
      </w:r>
    </w:p>
    <w:p w14:paraId="73041906" w14:textId="3D9EEEF1" w:rsidR="0017060C" w:rsidRDefault="00380305" w:rsidP="00F01ED6">
      <w:pPr>
        <w:pStyle w:val="ProductList-Body"/>
      </w:pPr>
      <w:r>
        <w:t>“</w:t>
      </w:r>
      <w:r w:rsidR="0017060C">
        <w:rPr>
          <w:b/>
          <w:bCs/>
          <w:color w:val="00188F"/>
        </w:rPr>
        <w:t>Aplicação</w:t>
      </w:r>
      <w:r>
        <w:t>”</w:t>
      </w:r>
      <w:r w:rsidR="0017060C">
        <w:t xml:space="preserve"> é uma aplicação Web implementada pelo Cliente nas aplicações Web Estáticas.</w:t>
      </w:r>
    </w:p>
    <w:p w14:paraId="7849AF2E" w14:textId="77777777" w:rsidR="0017060C" w:rsidRDefault="0017060C" w:rsidP="00F01ED6">
      <w:pPr>
        <w:pStyle w:val="ProductList-Body"/>
      </w:pPr>
      <w:r>
        <w:rPr>
          <w:b/>
          <w:bCs/>
          <w:color w:val="00188F"/>
        </w:rPr>
        <w:t>Período de Indisponibilidade:</w:t>
      </w:r>
      <w:r>
        <w:t xml:space="preserve"> O total de Minutos de Implementação acumulados,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4C60B400" w14:textId="6CE15D80" w:rsidR="0017060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37E9841B" w14:textId="77777777" w:rsidR="0017060C" w:rsidRPr="00A72CAC" w:rsidRDefault="0017060C" w:rsidP="00F01ED6">
      <w:pPr>
        <w:pStyle w:val="ProductList-Body"/>
        <w:rPr>
          <w:sz w:val="12"/>
          <w:szCs w:val="12"/>
        </w:rPr>
      </w:pPr>
    </w:p>
    <w:p w14:paraId="147DC32C" w14:textId="56DCC064" w:rsidR="0017060C"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3CB418" w14:textId="2A3C4401" w:rsidR="0017060C" w:rsidRPr="00B00BE0" w:rsidRDefault="0017060C"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BB82AA" w14:textId="77777777" w:rsidR="00B00BE0" w:rsidRPr="00EF7CF9" w:rsidRDefault="00B00BE0" w:rsidP="00F01ED6">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F01ED6">
            <w:pPr>
              <w:pStyle w:val="ProductList-OfferingBody"/>
              <w:jc w:val="center"/>
            </w:pPr>
            <w:r>
              <w:t>&lt; 99,95%</w:t>
            </w:r>
          </w:p>
        </w:tc>
        <w:tc>
          <w:tcPr>
            <w:tcW w:w="5400" w:type="dxa"/>
          </w:tcPr>
          <w:p w14:paraId="064A4A90" w14:textId="77777777" w:rsidR="00B00BE0" w:rsidRPr="00EF7CF9" w:rsidRDefault="00B00BE0" w:rsidP="00F01ED6">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F01ED6">
            <w:pPr>
              <w:pStyle w:val="ProductList-OfferingBody"/>
              <w:jc w:val="center"/>
            </w:pPr>
            <w:r>
              <w:t>&lt; 99%</w:t>
            </w:r>
          </w:p>
        </w:tc>
        <w:tc>
          <w:tcPr>
            <w:tcW w:w="5400" w:type="dxa"/>
          </w:tcPr>
          <w:p w14:paraId="5AC50C71" w14:textId="77777777" w:rsidR="00B00BE0" w:rsidRPr="00EF7CF9" w:rsidRDefault="00B00BE0" w:rsidP="00F01ED6">
            <w:pPr>
              <w:pStyle w:val="ProductList-OfferingBody"/>
              <w:jc w:val="center"/>
            </w:pPr>
            <w:r>
              <w:t>25%</w:t>
            </w:r>
          </w:p>
        </w:tc>
      </w:tr>
    </w:tbl>
    <w:p w14:paraId="62E029BE" w14:textId="77777777" w:rsidR="0017060C" w:rsidRDefault="0017060C" w:rsidP="007442E8">
      <w:pPr>
        <w:pStyle w:val="ProductList-Body"/>
        <w:spacing w:before="120"/>
      </w:pPr>
      <w:r>
        <w:rPr>
          <w:b/>
          <w:bCs/>
          <w:color w:val="00188F"/>
        </w:rPr>
        <w:t>Termos Adicionais:</w:t>
      </w:r>
      <w:r>
        <w:t xml:space="preserve"> Os Créditos de Serviço só são aplicáveis a taxas passíveis de serem atribuídas à utilização que o Cliente faz das aplicações Web estáticas e não a taxas passíveis de serem atribuídas a outros tipos de aplicações disponíveis.</w:t>
      </w:r>
    </w:p>
    <w:p w14:paraId="67E45F57" w14:textId="77777777" w:rsidR="00A72CAC" w:rsidRPr="00EF7CF9" w:rsidRDefault="00A72CAC" w:rsidP="00A72CA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5E1738F" w14:textId="77777777" w:rsidR="00E96EE7" w:rsidRPr="00EF7CF9" w:rsidRDefault="00E96EE7" w:rsidP="007442E8">
      <w:pPr>
        <w:pStyle w:val="ProductList-Offering2Heading"/>
        <w:tabs>
          <w:tab w:val="clear" w:pos="360"/>
          <w:tab w:val="clear" w:pos="720"/>
          <w:tab w:val="clear" w:pos="1080"/>
        </w:tabs>
        <w:spacing w:before="200"/>
        <w:outlineLvl w:val="2"/>
      </w:pPr>
      <w:bookmarkStart w:id="383" w:name="_Toc457821581"/>
      <w:bookmarkStart w:id="384" w:name="_Toc52348990"/>
      <w:bookmarkStart w:id="385" w:name="_Toc182409724"/>
      <w:bookmarkStart w:id="386" w:name="StorageService"/>
      <w:r>
        <w:t xml:space="preserve">Contas de </w:t>
      </w:r>
      <w:bookmarkEnd w:id="383"/>
      <w:bookmarkEnd w:id="384"/>
      <w:r>
        <w:t>Armazenamento</w:t>
      </w:r>
      <w:bookmarkEnd w:id="385"/>
    </w:p>
    <w:bookmarkEnd w:id="386"/>
    <w:p w14:paraId="551B0C9D" w14:textId="77777777" w:rsidR="00E96EE7" w:rsidRPr="00EF7CF9" w:rsidRDefault="00E96EE7" w:rsidP="00F01ED6">
      <w:pPr>
        <w:pStyle w:val="ProductList-Body"/>
      </w:pPr>
      <w:r>
        <w:rPr>
          <w:b/>
          <w:color w:val="00188F"/>
        </w:rPr>
        <w:t>Definições Adicionais</w:t>
      </w:r>
      <w:r w:rsidRPr="00473DD3">
        <w:rPr>
          <w:b/>
          <w:color w:val="00188F"/>
        </w:rPr>
        <w:t>:</w:t>
      </w:r>
    </w:p>
    <w:p w14:paraId="09BFD0CF" w14:textId="6D5BF19C" w:rsidR="00E96EE7" w:rsidRPr="00EF7CF9" w:rsidRDefault="00E96EE7" w:rsidP="00F01ED6">
      <w:pPr>
        <w:pStyle w:val="ProductList-Body"/>
      </w:pPr>
      <w:r>
        <w:t xml:space="preserve">A </w:t>
      </w:r>
      <w:r w:rsidR="00380305">
        <w:t>“</w:t>
      </w:r>
      <w:r>
        <w:rPr>
          <w:b/>
          <w:color w:val="00188F"/>
        </w:rPr>
        <w:t>Taxa Média de Erros</w:t>
      </w:r>
      <w:r w:rsidR="00380305">
        <w:t>”</w:t>
      </w:r>
      <w:r>
        <w:rPr>
          <w:b/>
          <w:color w:val="00188F"/>
        </w:rPr>
        <w:t xml:space="preserve"> </w:t>
      </w:r>
      <w:r>
        <w:t>para</w:t>
      </w:r>
      <w:r>
        <w:rPr>
          <w:b/>
          <w:color w:val="00188F"/>
        </w:rPr>
        <w:t xml:space="preserve"> </w:t>
      </w:r>
      <w:r>
        <w:t xml:space="preserve">um Período Aplicável designa a soma das Taxas de Erros para cada hora no Período Aplicável a dividir pelo número total de horas no Período Aplicável. </w:t>
      </w:r>
    </w:p>
    <w:p w14:paraId="1EBA4CA6" w14:textId="7D1ACB37" w:rsidR="00E96EE7" w:rsidRPr="00EF7CF9" w:rsidRDefault="00380305" w:rsidP="00F01ED6">
      <w:pPr>
        <w:pStyle w:val="ProductList-Body"/>
      </w:pPr>
      <w:r>
        <w:rPr>
          <w:bCs/>
        </w:rPr>
        <w:t>“</w:t>
      </w:r>
      <w:r w:rsidR="00E96EE7">
        <w:rPr>
          <w:b/>
          <w:bCs/>
          <w:color w:val="00188F"/>
        </w:rPr>
        <w:t>Conta de Armazenamento de Blob</w:t>
      </w:r>
      <w:r>
        <w:rPr>
          <w:bCs/>
        </w:rPr>
        <w:t>”</w:t>
      </w:r>
      <w:r w:rsidR="00E96EE7">
        <w:t xml:space="preserve"> é uma conta de armazenamento especializada no armazenamento de dados como blobs e permite especificar uma camada de acesso que indica a frequência com que os dados nessa conta são acedidos.</w:t>
      </w:r>
    </w:p>
    <w:p w14:paraId="6C1B3FAA" w14:textId="2137050F" w:rsidR="00E96EE7" w:rsidRPr="00EF7CF9" w:rsidRDefault="00380305" w:rsidP="00F01ED6">
      <w:pPr>
        <w:pStyle w:val="ProductList-Body"/>
      </w:pPr>
      <w:r>
        <w:rPr>
          <w:bCs/>
        </w:rPr>
        <w:t>“</w:t>
      </w:r>
      <w:r w:rsidR="00E96EE7">
        <w:rPr>
          <w:b/>
          <w:bCs/>
          <w:color w:val="00188F"/>
        </w:rPr>
        <w:t>Conta de Armazenamento de Blobs de Blocos</w:t>
      </w:r>
      <w:r>
        <w:rPr>
          <w:bCs/>
        </w:rPr>
        <w:t>”</w:t>
      </w:r>
      <w:r w:rsidR="00E96EE7">
        <w:t xml:space="preserve"> é uma conta de armazenamento especializada no armazenamento de dados como blobs de blocos ou de acréscimo em unidades de estado sólido.</w:t>
      </w:r>
    </w:p>
    <w:p w14:paraId="6C6641E9" w14:textId="07DE02A5" w:rsidR="00E96EE7" w:rsidRDefault="00380305" w:rsidP="00F01ED6">
      <w:pPr>
        <w:pStyle w:val="ProductList-Body"/>
      </w:pPr>
      <w:r>
        <w:rPr>
          <w:bCs/>
        </w:rPr>
        <w:t>“</w:t>
      </w:r>
      <w:r w:rsidR="00E96EE7">
        <w:rPr>
          <w:b/>
          <w:bCs/>
          <w:color w:val="00188F"/>
        </w:rPr>
        <w:t>Camada de Acesso Esporádico</w:t>
      </w:r>
      <w:r>
        <w:rPr>
          <w:bCs/>
        </w:rPr>
        <w:t>”</w:t>
      </w:r>
      <w:r w:rsidR="00E96EE7">
        <w:t xml:space="preserve"> é um atributo de um blob ou de uma conta que indica que o acesso é pouco frequente e tem um nível de serviço de disponibilidade mais baixo do que os blobs na Camada de Acesso Frequente.</w:t>
      </w:r>
    </w:p>
    <w:p w14:paraId="29FB69E1" w14:textId="13B09D86" w:rsidR="00E96EE7" w:rsidRPr="00EF7CF9" w:rsidRDefault="00380305" w:rsidP="00F01ED6">
      <w:pPr>
        <w:pStyle w:val="ProductList-Body"/>
      </w:pPr>
      <w:r>
        <w:t>“</w:t>
      </w:r>
      <w:r w:rsidR="00E96EE7">
        <w:rPr>
          <w:b/>
          <w:color w:val="00188F"/>
        </w:rPr>
        <w:t>Camada de Acesso Frequente</w:t>
      </w:r>
      <w:r>
        <w:t>”</w:t>
      </w:r>
      <w:r w:rsidR="00E96EE7">
        <w:t xml:space="preserve"> é um atributo de um blob ou de uma conta que indica que é acedido com frequência.</w:t>
      </w:r>
    </w:p>
    <w:p w14:paraId="2D199550" w14:textId="4252FBD7" w:rsidR="00E96EE7" w:rsidRPr="00EF7CF9" w:rsidRDefault="00380305" w:rsidP="00F01ED6">
      <w:pPr>
        <w:pStyle w:val="ProductList-Body"/>
      </w:pPr>
      <w:r>
        <w:t>“</w:t>
      </w:r>
      <w:r w:rsidR="00E96EE7">
        <w:rPr>
          <w:b/>
          <w:color w:val="00188F"/>
        </w:rPr>
        <w:t>Transações Excluídas</w:t>
      </w:r>
      <w:r>
        <w:t>”</w:t>
      </w:r>
      <w:r w:rsidR="00E96EE7">
        <w:t xml:space="preserve"> designa as transações de armazenamento que não são consideradas como Total de Transações de Armazenamento ou</w:t>
      </w:r>
      <w:r w:rsidR="00916C77">
        <w:t> </w:t>
      </w:r>
      <w:r w:rsidR="00E96EE7">
        <w:t>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w:t>
      </w:r>
      <w:r w:rsidR="00916C77">
        <w:t> </w:t>
      </w:r>
      <w:r w:rsidR="00E96EE7">
        <w:t>ou filas, limpeza de filas e cópia de blobs ou ficheiros entre contas de armazenamento.</w:t>
      </w:r>
    </w:p>
    <w:p w14:paraId="4981D6DC" w14:textId="3BDF2B00" w:rsidR="00E96EE7" w:rsidRPr="00EF7CF9" w:rsidRDefault="00380305" w:rsidP="00916C77">
      <w:pPr>
        <w:pStyle w:val="ProductList-Body"/>
      </w:pPr>
      <w:r>
        <w:t>“</w:t>
      </w:r>
      <w:r w:rsidR="00E96EE7">
        <w:rPr>
          <w:b/>
          <w:color w:val="00188F"/>
        </w:rPr>
        <w:t>Total de Erros</w:t>
      </w:r>
      <w:r>
        <w:t>”</w:t>
      </w:r>
      <w:r w:rsidR="00E96EE7">
        <w:t xml:space="preserve"> é o número total de Transações de Armazenamento com Falha a dividir pelo Total de Transações de Armazenamento durante um</w:t>
      </w:r>
      <w:r w:rsidR="00916C77">
        <w:t> </w:t>
      </w:r>
      <w:r w:rsidR="00E96EE7">
        <w:t>período de tempo determinado (atualmente uma hora). Se o Total de Transações de Armazenamento num intervalo de uma hora for zero, a</w:t>
      </w:r>
      <w:r w:rsidR="00916C77">
        <w:t> </w:t>
      </w:r>
      <w:r w:rsidR="00E96EE7">
        <w:t>taxa de erros para esse intervalo é 0%.</w:t>
      </w:r>
    </w:p>
    <w:p w14:paraId="151C83A0" w14:textId="10B89C9A" w:rsidR="00E96EE7" w:rsidRPr="00EF7CF9" w:rsidRDefault="00380305" w:rsidP="00F01ED6">
      <w:pPr>
        <w:pStyle w:val="ProductList-Body"/>
      </w:pPr>
      <w:r>
        <w:t>“</w:t>
      </w:r>
      <w:r w:rsidR="00E96EE7">
        <w:rPr>
          <w:b/>
          <w:color w:val="00188F"/>
        </w:rPr>
        <w:t>Transações de Armazenamento com Falha</w:t>
      </w:r>
      <w:r>
        <w:t>”</w:t>
      </w:r>
      <w:r w:rsidR="00E96EE7">
        <w:t xml:space="preserve"> designa o conjunto de todas as transações de armazenamento no Total de Transações de Armazenamento que não são concluídas no Tempo Máximo de Processamento associado ao respetivo tipo de transação, tal como especificado na</w:t>
      </w:r>
      <w:r w:rsidR="00CC78FF">
        <w:t> </w:t>
      </w:r>
      <w:r w:rsidR="00E96EE7">
        <w:t>tabela abaixo. O Tempo Máximo de Processamento inclui apenas o tempo despendido no processamento de um pedido de transação no Serviço</w:t>
      </w:r>
      <w:r w:rsidR="00CC78FF">
        <w:t> </w:t>
      </w:r>
      <w:r w:rsidR="00E96EE7">
        <w:t>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F01ED6">
            <w:pPr>
              <w:pStyle w:val="ProductList-OfferingBody"/>
              <w:rPr>
                <w:color w:val="FFFFFF" w:themeColor="background1"/>
              </w:rPr>
            </w:pPr>
            <w:r>
              <w:rPr>
                <w:color w:val="FFFFFF" w:themeColor="background1"/>
              </w:rPr>
              <w:t>Tipos de Transação</w:t>
            </w:r>
          </w:p>
        </w:tc>
        <w:tc>
          <w:tcPr>
            <w:tcW w:w="5400" w:type="dxa"/>
            <w:shd w:val="clear" w:color="auto" w:fill="0072C6"/>
          </w:tcPr>
          <w:p w14:paraId="485261B1" w14:textId="77777777" w:rsidR="00E96EE7" w:rsidRPr="00EF7CF9" w:rsidRDefault="00E96EE7" w:rsidP="00F01ED6">
            <w:pPr>
              <w:pStyle w:val="ProductList-OfferingBody"/>
              <w:rPr>
                <w:color w:val="FFFFFF" w:themeColor="background1"/>
              </w:rPr>
            </w:pPr>
            <w:r>
              <w:rPr>
                <w:color w:val="FFFFFF" w:themeColor="background1"/>
              </w:rPr>
              <w:t>Tempo Máximo de Processamento</w:t>
            </w:r>
          </w:p>
        </w:tc>
      </w:tr>
      <w:tr w:rsidR="00E96EE7" w:rsidRPr="00B44CF9" w14:paraId="76BDE61B" w14:textId="77777777" w:rsidTr="00277097">
        <w:tc>
          <w:tcPr>
            <w:tcW w:w="5400" w:type="dxa"/>
          </w:tcPr>
          <w:p w14:paraId="4A94EF1F" w14:textId="77777777" w:rsidR="00E96EE7" w:rsidRPr="00EF7CF9" w:rsidRDefault="00E96EE7" w:rsidP="00F01ED6">
            <w:pPr>
              <w:pStyle w:val="ProductList-OfferingBody"/>
            </w:pPr>
            <w:r>
              <w:t>PutBlob e GetBlob (inclui blocos e páginas)</w:t>
            </w:r>
          </w:p>
          <w:p w14:paraId="4EA661FC" w14:textId="77777777" w:rsidR="00E96EE7" w:rsidRPr="00EF7CF9" w:rsidRDefault="00E96EE7" w:rsidP="00F01ED6">
            <w:pPr>
              <w:pStyle w:val="ProductList-OfferingBody"/>
            </w:pPr>
            <w:r>
              <w:t>Obter Intervalos de Blob de Página Válidos</w:t>
            </w:r>
          </w:p>
        </w:tc>
        <w:tc>
          <w:tcPr>
            <w:tcW w:w="5400" w:type="dxa"/>
          </w:tcPr>
          <w:p w14:paraId="6009E5B3" w14:textId="2C0F7EE4" w:rsidR="00E96EE7" w:rsidRPr="00EF7CF9" w:rsidRDefault="00E96EE7" w:rsidP="00F01ED6">
            <w:pPr>
              <w:pStyle w:val="ProductList-OfferingBody"/>
            </w:pPr>
            <w:r>
              <w:rPr>
                <w:rFonts w:ascii="Calibri" w:eastAsia="Times New Roman" w:hAnsi="Calibri"/>
              </w:rPr>
              <w:t>Dois (2) segundos multiplicados pelo número de MBs transferidos no decorrer do</w:t>
            </w:r>
            <w:r w:rsidR="00144735">
              <w:rPr>
                <w:rFonts w:ascii="Calibri" w:eastAsia="Times New Roman" w:hAnsi="Calibri"/>
              </w:rPr>
              <w:t> </w:t>
            </w:r>
            <w:r>
              <w:rPr>
                <w:rFonts w:ascii="Calibri" w:eastAsia="Times New Roman" w:hAnsi="Calibri"/>
              </w:rPr>
              <w:t>processamento do pedido</w:t>
            </w:r>
          </w:p>
        </w:tc>
      </w:tr>
      <w:tr w:rsidR="00E96EE7" w:rsidRPr="00B44CF9" w14:paraId="2DFC7751" w14:textId="77777777" w:rsidTr="00277097">
        <w:tc>
          <w:tcPr>
            <w:tcW w:w="5400" w:type="dxa"/>
          </w:tcPr>
          <w:p w14:paraId="6E319118" w14:textId="77777777" w:rsidR="00E96EE7" w:rsidRPr="00EF7CF9" w:rsidRDefault="00E96EE7" w:rsidP="00F01ED6">
            <w:pPr>
              <w:pStyle w:val="ProductList-OfferingBody"/>
            </w:pPr>
            <w:r>
              <w:rPr>
                <w:rFonts w:cstheme="minorHAnsi"/>
                <w:szCs w:val="16"/>
              </w:rPr>
              <w:t xml:space="preserve">PutFile e GetFile </w:t>
            </w:r>
          </w:p>
        </w:tc>
        <w:tc>
          <w:tcPr>
            <w:tcW w:w="5400" w:type="dxa"/>
          </w:tcPr>
          <w:p w14:paraId="7E982626" w14:textId="7B348B24" w:rsidR="00E96EE7" w:rsidRPr="00EF7CF9" w:rsidRDefault="00E96EE7" w:rsidP="00F01ED6">
            <w:pPr>
              <w:pStyle w:val="ProductList-OfferingBody"/>
              <w:rPr>
                <w:rFonts w:ascii="Calibri" w:eastAsia="Times New Roman" w:hAnsi="Calibri"/>
              </w:rPr>
            </w:pPr>
            <w:r>
              <w:rPr>
                <w:rFonts w:cstheme="minorHAnsi"/>
                <w:szCs w:val="16"/>
              </w:rPr>
              <w:t>Dois (2) segundos multiplicados pelo número de MBs transferidos no decorrer do</w:t>
            </w:r>
            <w:r w:rsidR="00144735">
              <w:rPr>
                <w:rFonts w:cstheme="minorHAnsi"/>
                <w:szCs w:val="16"/>
              </w:rPr>
              <w:t> </w:t>
            </w:r>
            <w:r>
              <w:rPr>
                <w:rFonts w:cstheme="minorHAnsi"/>
                <w:szCs w:val="16"/>
              </w:rPr>
              <w:t>processamento do pedido</w:t>
            </w:r>
          </w:p>
        </w:tc>
      </w:tr>
      <w:tr w:rsidR="00E96EE7" w:rsidRPr="00B44CF9" w14:paraId="09755E03" w14:textId="77777777" w:rsidTr="00277097">
        <w:tc>
          <w:tcPr>
            <w:tcW w:w="5400" w:type="dxa"/>
          </w:tcPr>
          <w:p w14:paraId="497A2D7A" w14:textId="77777777" w:rsidR="00E96EE7" w:rsidRPr="00EF7CF9" w:rsidRDefault="00E96EE7" w:rsidP="00F01ED6">
            <w:pPr>
              <w:pStyle w:val="ProductList-OfferingBody"/>
            </w:pPr>
            <w:r>
              <w:t>Copiar Blob</w:t>
            </w:r>
          </w:p>
        </w:tc>
        <w:tc>
          <w:tcPr>
            <w:tcW w:w="5400" w:type="dxa"/>
          </w:tcPr>
          <w:p w14:paraId="6F2F6CFF" w14:textId="77777777" w:rsidR="00E96EE7" w:rsidRPr="00EF7CF9" w:rsidRDefault="00E96EE7" w:rsidP="00F01ED6">
            <w:pPr>
              <w:pStyle w:val="ProductList-OfferingBody"/>
            </w:pPr>
            <w:r>
              <w:rPr>
                <w:rFonts w:ascii="Calibri" w:eastAsia="Times New Roman" w:hAnsi="Calibri"/>
              </w:rPr>
              <w:t>Noventa (90) segundos (em que os blobs de origem e de destino se encontram na mesma conta de armazenamento)</w:t>
            </w:r>
          </w:p>
        </w:tc>
      </w:tr>
      <w:tr w:rsidR="00E96EE7" w:rsidRPr="00B44CF9" w14:paraId="5BCCC352" w14:textId="77777777" w:rsidTr="00277097">
        <w:tc>
          <w:tcPr>
            <w:tcW w:w="5400" w:type="dxa"/>
          </w:tcPr>
          <w:p w14:paraId="76A457CD" w14:textId="77777777" w:rsidR="00E96EE7" w:rsidRPr="00EF7CF9" w:rsidRDefault="00E96EE7" w:rsidP="00F01ED6">
            <w:pPr>
              <w:pStyle w:val="ProductList-OfferingBody"/>
            </w:pPr>
            <w:r>
              <w:rPr>
                <w:rFonts w:cstheme="minorHAnsi"/>
                <w:szCs w:val="16"/>
              </w:rPr>
              <w:t>Copiar Ficheiro</w:t>
            </w:r>
          </w:p>
        </w:tc>
        <w:tc>
          <w:tcPr>
            <w:tcW w:w="5400" w:type="dxa"/>
          </w:tcPr>
          <w:p w14:paraId="19C954F4" w14:textId="77777777" w:rsidR="00E96EE7" w:rsidRPr="00EF7CF9" w:rsidRDefault="00E96EE7" w:rsidP="00F01ED6">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E96EE7" w:rsidRPr="00B44CF9" w14:paraId="3191E993" w14:textId="77777777" w:rsidTr="00277097">
        <w:tc>
          <w:tcPr>
            <w:tcW w:w="5400" w:type="dxa"/>
          </w:tcPr>
          <w:p w14:paraId="596E00D9" w14:textId="77777777" w:rsidR="00E96EE7" w:rsidRPr="00EF7CF9" w:rsidRDefault="00E96EE7" w:rsidP="00F01ED6">
            <w:pPr>
              <w:pStyle w:val="ProductList-OfferingBody"/>
              <w:rPr>
                <w:rFonts w:eastAsia="Calibri"/>
              </w:rPr>
            </w:pPr>
            <w:r>
              <w:t xml:space="preserve">PutBlockList </w:t>
            </w:r>
          </w:p>
          <w:p w14:paraId="6C23596C" w14:textId="77777777" w:rsidR="00E96EE7" w:rsidRPr="00EF7CF9" w:rsidRDefault="00E96EE7" w:rsidP="00F01ED6">
            <w:pPr>
              <w:pStyle w:val="ProductList-OfferingBody"/>
            </w:pPr>
            <w:r>
              <w:t>GetBlockList</w:t>
            </w:r>
          </w:p>
        </w:tc>
        <w:tc>
          <w:tcPr>
            <w:tcW w:w="5400" w:type="dxa"/>
          </w:tcPr>
          <w:p w14:paraId="232A8736" w14:textId="77777777" w:rsidR="00E96EE7" w:rsidRPr="00EF7CF9" w:rsidRDefault="00E96EE7" w:rsidP="00F01ED6">
            <w:pPr>
              <w:pStyle w:val="ProductList-OfferingBody"/>
            </w:pPr>
            <w:r>
              <w:rPr>
                <w:rFonts w:ascii="Calibri" w:eastAsia="Times New Roman" w:hAnsi="Calibri"/>
              </w:rPr>
              <w:t>Sessenta (60) segundos</w:t>
            </w:r>
          </w:p>
        </w:tc>
      </w:tr>
      <w:tr w:rsidR="00E96EE7" w:rsidRPr="00B44CF9" w14:paraId="7EC4BCE5" w14:textId="77777777" w:rsidTr="00277097">
        <w:tc>
          <w:tcPr>
            <w:tcW w:w="5400" w:type="dxa"/>
          </w:tcPr>
          <w:p w14:paraId="45BA86C4" w14:textId="77777777" w:rsidR="00E96EE7" w:rsidRPr="00ED4527" w:rsidRDefault="00E96EE7" w:rsidP="00F01ED6">
            <w:pPr>
              <w:pStyle w:val="ProductList-OfferingBody"/>
              <w:rPr>
                <w:rFonts w:ascii="Calibri" w:hAnsi="Calibri" w:cs="Calibri"/>
                <w:szCs w:val="16"/>
              </w:rPr>
            </w:pPr>
            <w:r>
              <w:rPr>
                <w:rFonts w:ascii="Calibri" w:hAnsi="Calibri" w:cs="Calibri"/>
                <w:szCs w:val="16"/>
              </w:rPr>
              <w:t>Consulta de Tabela</w:t>
            </w:r>
          </w:p>
          <w:p w14:paraId="1FD0E94B" w14:textId="77777777" w:rsidR="00E96EE7" w:rsidRPr="00ED4527" w:rsidRDefault="00E96EE7" w:rsidP="00F01ED6">
            <w:pPr>
              <w:pStyle w:val="ProductList-OfferingBody"/>
              <w:rPr>
                <w:rFonts w:ascii="Calibri" w:hAnsi="Calibri" w:cs="Calibri"/>
                <w:szCs w:val="16"/>
              </w:rPr>
            </w:pPr>
            <w:r>
              <w:rPr>
                <w:rFonts w:ascii="Calibri" w:hAnsi="Calibri" w:cs="Calibri"/>
                <w:szCs w:val="16"/>
              </w:rPr>
              <w:t>Listar Operações</w:t>
            </w:r>
          </w:p>
          <w:p w14:paraId="2C929ECA" w14:textId="77777777" w:rsidR="00E96EE7" w:rsidRPr="00ED4527" w:rsidRDefault="00E96EE7" w:rsidP="00F01ED6">
            <w:pPr>
              <w:pStyle w:val="ProductList-Body"/>
              <w:rPr>
                <w:rFonts w:ascii="Calibri" w:hAnsi="Calibri" w:cs="Calibri"/>
                <w:sz w:val="16"/>
                <w:szCs w:val="16"/>
              </w:rPr>
            </w:pPr>
            <w:r>
              <w:rPr>
                <w:rFonts w:ascii="Calibri" w:hAnsi="Calibri" w:cs="Calibri"/>
                <w:sz w:val="16"/>
                <w:szCs w:val="16"/>
              </w:rPr>
              <w:t>Operações de Localização</w:t>
            </w:r>
          </w:p>
        </w:tc>
        <w:tc>
          <w:tcPr>
            <w:tcW w:w="5400" w:type="dxa"/>
          </w:tcPr>
          <w:p w14:paraId="0FE27C3C" w14:textId="77777777" w:rsidR="00E96EE7" w:rsidRPr="00EF7CF9" w:rsidRDefault="00E96EE7" w:rsidP="00F01ED6">
            <w:pPr>
              <w:pStyle w:val="ProductList-OfferingBody"/>
            </w:pPr>
            <w:r>
              <w:rPr>
                <w:rFonts w:ascii="Calibri" w:eastAsia="Times New Roman" w:hAnsi="Calibri"/>
              </w:rPr>
              <w:t>Dez (10) segundos (para concluir o processamento ou devolver uma continuação)</w:t>
            </w:r>
          </w:p>
        </w:tc>
      </w:tr>
      <w:tr w:rsidR="00E96EE7" w:rsidRPr="00B44CF9" w14:paraId="3C1AECD3" w14:textId="77777777" w:rsidTr="00277097">
        <w:tc>
          <w:tcPr>
            <w:tcW w:w="5400" w:type="dxa"/>
          </w:tcPr>
          <w:p w14:paraId="5C8F98BF" w14:textId="77777777" w:rsidR="00E96EE7" w:rsidRPr="00EF7CF9" w:rsidRDefault="00E96EE7" w:rsidP="00F01ED6">
            <w:pPr>
              <w:pStyle w:val="ProductList-OfferingBody"/>
            </w:pPr>
            <w:r>
              <w:t>Agrupar Operações de Tabela</w:t>
            </w:r>
          </w:p>
        </w:tc>
        <w:tc>
          <w:tcPr>
            <w:tcW w:w="5400" w:type="dxa"/>
          </w:tcPr>
          <w:p w14:paraId="0BE3C576" w14:textId="77777777" w:rsidR="00E96EE7" w:rsidRPr="00EF7CF9" w:rsidRDefault="00E96EE7" w:rsidP="00F01ED6">
            <w:pPr>
              <w:pStyle w:val="ProductList-OfferingBody"/>
            </w:pPr>
            <w:r>
              <w:rPr>
                <w:rFonts w:ascii="Calibri" w:eastAsia="Times New Roman" w:hAnsi="Calibri"/>
              </w:rPr>
              <w:t>Trinta (30) segundos</w:t>
            </w:r>
          </w:p>
        </w:tc>
      </w:tr>
      <w:tr w:rsidR="00E96EE7" w:rsidRPr="00B44CF9" w14:paraId="2099F02F" w14:textId="77777777" w:rsidTr="00277097">
        <w:tc>
          <w:tcPr>
            <w:tcW w:w="5400" w:type="dxa"/>
          </w:tcPr>
          <w:p w14:paraId="6FFC33E4" w14:textId="77777777" w:rsidR="00E96EE7" w:rsidRPr="00EF7CF9" w:rsidRDefault="00E96EE7" w:rsidP="00F01ED6">
            <w:pPr>
              <w:pStyle w:val="ProductList-OfferingBody"/>
            </w:pPr>
            <w:r>
              <w:t xml:space="preserve">Todas as Operações de Tabela de Entidade Única </w:t>
            </w:r>
          </w:p>
          <w:p w14:paraId="395F987B" w14:textId="77777777" w:rsidR="00E96EE7" w:rsidRPr="00EF7CF9" w:rsidRDefault="00E96EE7" w:rsidP="00F01ED6">
            <w:pPr>
              <w:pStyle w:val="ProductList-OfferingBody"/>
            </w:pPr>
            <w:r>
              <w:t>Todas as outras Operações de Blob, Ficheiro e Mensagem</w:t>
            </w:r>
          </w:p>
        </w:tc>
        <w:tc>
          <w:tcPr>
            <w:tcW w:w="5400" w:type="dxa"/>
          </w:tcPr>
          <w:p w14:paraId="23697AD5" w14:textId="77777777" w:rsidR="00E96EE7" w:rsidRPr="00EF7CF9" w:rsidRDefault="00E96EE7" w:rsidP="00F01ED6">
            <w:pPr>
              <w:pStyle w:val="ProductList-OfferingBody"/>
            </w:pPr>
            <w:r>
              <w:rPr>
                <w:rFonts w:ascii="Calibri" w:eastAsia="Times New Roman" w:hAnsi="Calibri"/>
              </w:rPr>
              <w:t>Dois (2) segundos</w:t>
            </w:r>
          </w:p>
        </w:tc>
      </w:tr>
    </w:tbl>
    <w:p w14:paraId="4C9FF465" w14:textId="77777777" w:rsidR="00E96EE7" w:rsidRPr="00EF7CF9" w:rsidRDefault="00E96EE7" w:rsidP="00F01ED6">
      <w:pPr>
        <w:pStyle w:val="ProductList-Body"/>
      </w:pPr>
      <w:r>
        <w:t>Estes algarismos representam os tempos máximos de processamento. Estima-se que os tempos reais e médios sejam muito mais baixos.</w:t>
      </w:r>
    </w:p>
    <w:p w14:paraId="2F6F9ECF" w14:textId="77777777" w:rsidR="00E96EE7" w:rsidRPr="00AB3B99" w:rsidRDefault="00E96EE7" w:rsidP="00F01ED6">
      <w:pPr>
        <w:pStyle w:val="ProductList-Body"/>
        <w:rPr>
          <w:sz w:val="12"/>
          <w:szCs w:val="12"/>
        </w:rPr>
      </w:pPr>
    </w:p>
    <w:p w14:paraId="682C360D" w14:textId="77777777" w:rsidR="00E96EE7" w:rsidRPr="00EF7CF9" w:rsidRDefault="00E96EE7" w:rsidP="00F01ED6">
      <w:pPr>
        <w:pStyle w:val="ProductList-Body"/>
      </w:pPr>
      <w:r>
        <w:t>As Transações de Armazenamento com Falha não incluem:</w:t>
      </w:r>
    </w:p>
    <w:p w14:paraId="03227C2D" w14:textId="77777777" w:rsidR="00E96EE7" w:rsidRPr="00EF7CF9" w:rsidRDefault="00E96EE7" w:rsidP="00F01ED6">
      <w:pPr>
        <w:pStyle w:val="ProductList-Body"/>
        <w:numPr>
          <w:ilvl w:val="0"/>
          <w:numId w:val="4"/>
        </w:numPr>
      </w:pPr>
      <w:r>
        <w:t xml:space="preserve">Pedidos de transação que são limitados pelo Serviço de Armazenamento devido a uma falha em respeitar os princípios de término adequados. </w:t>
      </w:r>
    </w:p>
    <w:p w14:paraId="5D026997" w14:textId="77777777" w:rsidR="00E96EE7" w:rsidRPr="00EF7CF9" w:rsidRDefault="00E96EE7" w:rsidP="00F01ED6">
      <w:pPr>
        <w:pStyle w:val="ProductList-Body"/>
        <w:numPr>
          <w:ilvl w:val="0"/>
          <w:numId w:val="4"/>
        </w:numPr>
      </w:pPr>
      <w:r>
        <w:t xml:space="preserve">Pedidos de transação com tempos limite inferiores aos respetivos Tempos Máximos de Processamento especificados acima. </w:t>
      </w:r>
    </w:p>
    <w:p w14:paraId="4099BC3F" w14:textId="77777777" w:rsidR="00E96EE7" w:rsidRPr="00EF7CF9" w:rsidRDefault="00E96EE7" w:rsidP="00F01ED6">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4D78710" w14:textId="77777777" w:rsidR="00E96EE7" w:rsidRPr="00EF7CF9" w:rsidRDefault="00E96EE7" w:rsidP="00F01ED6">
      <w:pPr>
        <w:pStyle w:val="ProductList-Body"/>
        <w:numPr>
          <w:ilvl w:val="0"/>
          <w:numId w:val="4"/>
        </w:numPr>
      </w:pPr>
      <w:r>
        <w:t>Pedidos de transações de leitura para Contas RA-GRS que falharam devido ao Intervalo de Georreplicação.</w:t>
      </w:r>
    </w:p>
    <w:p w14:paraId="3B656A46" w14:textId="54939C3F" w:rsidR="00E96EE7" w:rsidRPr="00EF7CF9" w:rsidRDefault="00380305" w:rsidP="00F01ED6">
      <w:pPr>
        <w:pStyle w:val="ProductList-Body"/>
        <w:spacing w:before="40" w:after="40"/>
      </w:pPr>
      <w:r>
        <w:t>“</w:t>
      </w:r>
      <w:r w:rsidR="00E96EE7">
        <w:rPr>
          <w:b/>
          <w:color w:val="00188F"/>
        </w:rPr>
        <w:t>Intervalo de Georreplicação</w:t>
      </w:r>
      <w:r>
        <w:t>”</w:t>
      </w:r>
      <w:r w:rsidR="00E96EE7">
        <w:t xml:space="preserve"> para Contas GRS e RA-GRS é o tempo que demora a replicação dos dados armazenados na Região Primária da conta</w:t>
      </w:r>
      <w:r w:rsidR="009E62A1">
        <w:t> </w:t>
      </w:r>
      <w:r w:rsidR="00E96EE7">
        <w:t>de armazenamento para a Região Secundária da conta de armazenamento. Uma vez que as Contas GRS e RA-GRS são replicadas de forma assíncrona para a Região Secundária, os dados escritos na Região Primária da conta de armazenamento não estarão imediatamente disponíveis na</w:t>
      </w:r>
      <w:r w:rsidR="009E62A1">
        <w:t> </w:t>
      </w:r>
      <w:r w:rsidR="00E96EE7">
        <w:t>Região Secundária. O Cliente pode consultar o Intervalo de Georreplicação para uma conta de armazenamento, mas a Microsoft não concede nenhuma garantia para a duração de qualquer Intervalo de Georreplicação ao abrigo deste SLA.</w:t>
      </w:r>
    </w:p>
    <w:p w14:paraId="3CAAC3C4" w14:textId="1DCAECC7" w:rsidR="00E96EE7" w:rsidRPr="00EF7CF9" w:rsidRDefault="00380305" w:rsidP="00F01ED6">
      <w:pPr>
        <w:pStyle w:val="ProductList-Body"/>
        <w:spacing w:after="40"/>
      </w:pPr>
      <w:r>
        <w:t>“</w:t>
      </w:r>
      <w:r w:rsidR="00E96EE7">
        <w:rPr>
          <w:b/>
          <w:color w:val="00188F"/>
        </w:rPr>
        <w:t>Conta de Armazenamento Geograficamente Redundante (GRS)</w:t>
      </w:r>
      <w:r>
        <w:t>”</w:t>
      </w:r>
      <w:r w:rsidR="00E96EE7">
        <w:t xml:space="preserve"> é uma conta de armazenamento para a qual os dados são replicados de forma síncrona numa Região Primária e, em seguida, replicados de forma assíncrona para uma Região Secundária. O Cliente não pode ler nem escrever dados diretamente na Região Secundária associada às Contas GRS.</w:t>
      </w:r>
    </w:p>
    <w:p w14:paraId="7E2502DA" w14:textId="6D072A0D" w:rsidR="00E96EE7" w:rsidRPr="00EF7CF9" w:rsidRDefault="00380305" w:rsidP="00F01ED6">
      <w:pPr>
        <w:pStyle w:val="ProductList-Body"/>
        <w:spacing w:after="40"/>
      </w:pPr>
      <w:r>
        <w:t>“</w:t>
      </w:r>
      <w:r w:rsidR="00E96EE7">
        <w:rPr>
          <w:b/>
          <w:color w:val="00188F"/>
        </w:rPr>
        <w:t>Conta de Armazenamento Localmente Redundante (LRS)</w:t>
      </w:r>
      <w:r>
        <w:t>”</w:t>
      </w:r>
      <w:r w:rsidR="00E96EE7">
        <w:t xml:space="preserve"> é uma conta de armazenamento para a qual os dados são replicados de forma síncrona apenas numa Região Primária.</w:t>
      </w:r>
    </w:p>
    <w:p w14:paraId="6CEB5E6D" w14:textId="602A663A" w:rsidR="00E96EE7" w:rsidRPr="00EF7CF9" w:rsidRDefault="00380305" w:rsidP="00F01ED6">
      <w:pPr>
        <w:pStyle w:val="ProductList-Body"/>
        <w:spacing w:after="40"/>
      </w:pPr>
      <w:r>
        <w:t>“</w:t>
      </w:r>
      <w:r w:rsidR="00E96EE7">
        <w:rPr>
          <w:b/>
          <w:color w:val="00188F"/>
        </w:rPr>
        <w:t>Região Primária</w:t>
      </w:r>
      <w:r>
        <w:t>”</w:t>
      </w:r>
      <w:r w:rsidR="00E96EE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C9277E8" w14:textId="4687444D" w:rsidR="00E96EE7" w:rsidRPr="00EF7CF9" w:rsidRDefault="00380305" w:rsidP="00F01ED6">
      <w:pPr>
        <w:pStyle w:val="ProductList-Body"/>
        <w:spacing w:after="40"/>
      </w:pPr>
      <w:r>
        <w:t>“</w:t>
      </w:r>
      <w:r w:rsidR="00E96EE7">
        <w:rPr>
          <w:b/>
          <w:color w:val="00188F"/>
        </w:rPr>
        <w:t>Conta de Acesso de Leitura e Armazenamento Geograficamente Redundante (RA-GRS)</w:t>
      </w:r>
      <w:r>
        <w:t>”</w:t>
      </w:r>
      <w:r w:rsidR="00E96EE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3A0EBFF2" w14:textId="6335F29B" w:rsidR="00E96EE7" w:rsidRPr="00EF7CF9" w:rsidRDefault="00380305" w:rsidP="00F01ED6">
      <w:pPr>
        <w:pStyle w:val="ProductList-Body"/>
        <w:spacing w:after="40"/>
      </w:pPr>
      <w:r>
        <w:t>“</w:t>
      </w:r>
      <w:r w:rsidR="00E96EE7">
        <w:rPr>
          <w:b/>
          <w:color w:val="00188F"/>
        </w:rPr>
        <w:t>Região Secundária</w:t>
      </w:r>
      <w:r>
        <w:t>”</w:t>
      </w:r>
      <w:r w:rsidR="00E96EE7">
        <w:t xml:space="preserve"> é uma região geográfica onde os dados numa Conta GRS ou RA-GRS são replicados e armazenados, tal como atribuído pelo Microsoft Azure com base na Região Primária associada à conta de armazenamento. O Cliente não pode especificar a Região Secundária associada às contas de armazenamento.</w:t>
      </w:r>
    </w:p>
    <w:p w14:paraId="62E67763" w14:textId="74AC3AB1" w:rsidR="00E96EE7" w:rsidRPr="00EF7CF9" w:rsidRDefault="00380305" w:rsidP="00F01ED6">
      <w:pPr>
        <w:pStyle w:val="ProductList-Body"/>
        <w:spacing w:after="40"/>
      </w:pPr>
      <w:r>
        <w:t>“</w:t>
      </w:r>
      <w:r w:rsidR="00E96EE7">
        <w:rPr>
          <w:b/>
          <w:color w:val="00188F"/>
        </w:rPr>
        <w:t>Total de Transações de Armazenamento</w:t>
      </w:r>
      <w:r>
        <w:t>”</w:t>
      </w:r>
      <w:r w:rsidR="00E96EE7">
        <w:t xml:space="preserve"> é o conjunto de todas as transações de armazenamento, que não as Transações Excluídas, tentadas num intervalo de uma hora em todas as contas de armazenamento no Serviço de Armazenamento numa determinada subscrição.</w:t>
      </w:r>
    </w:p>
    <w:p w14:paraId="3E7EEDF4" w14:textId="1FF70001" w:rsidR="00E96EE7" w:rsidRPr="00EF7CF9" w:rsidRDefault="00380305" w:rsidP="00F01ED6">
      <w:pPr>
        <w:pStyle w:val="ProductList-Body"/>
      </w:pPr>
      <w:r>
        <w:t>“</w:t>
      </w:r>
      <w:r w:rsidR="00E96EE7">
        <w:rPr>
          <w:b/>
          <w:color w:val="00188F"/>
        </w:rPr>
        <w:t>Conta de Armazenamento Redundante por Zona (ZRS)</w:t>
      </w:r>
      <w:r>
        <w:t>”</w:t>
      </w:r>
      <w:r w:rsidR="00E96EE7">
        <w:t xml:space="preserve"> é uma conta de armazenamento para a qual os dados são replicados em múltiplas instalações. Estas instalações podem estar na mesma região geográfica ou em duas regiões geográficas.</w:t>
      </w:r>
    </w:p>
    <w:p w14:paraId="267B6D14" w14:textId="77777777" w:rsidR="00E96EE7" w:rsidRPr="00AB3B99" w:rsidRDefault="00E96EE7" w:rsidP="00F01ED6">
      <w:pPr>
        <w:pStyle w:val="ProductList-Body"/>
        <w:rPr>
          <w:sz w:val="12"/>
          <w:szCs w:val="12"/>
        </w:rPr>
      </w:pPr>
    </w:p>
    <w:p w14:paraId="68145E06" w14:textId="3B5B7746" w:rsidR="00E96EE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utilizando a seguinte fórmula:</w:t>
      </w:r>
    </w:p>
    <w:p w14:paraId="7067EA23" w14:textId="77777777" w:rsidR="00E96EE7" w:rsidRPr="002968DA" w:rsidRDefault="00E96EE7" w:rsidP="00F01ED6">
      <w:pPr>
        <w:pStyle w:val="ProductList-Body"/>
        <w:rPr>
          <w:szCs w:val="18"/>
        </w:rPr>
      </w:pPr>
    </w:p>
    <w:p w14:paraId="5D8E3860" w14:textId="6D219205" w:rsidR="00E96EE7" w:rsidRPr="00EF7CF9" w:rsidRDefault="003B474A" w:rsidP="00F01ED6">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iCs/>
              <w:sz w:val="18"/>
              <w:szCs w:val="18"/>
            </w:rPr>
            <m:t>Taxa Média de Erros</m:t>
          </m:r>
        </m:oMath>
      </m:oMathPara>
    </w:p>
    <w:p w14:paraId="341597DD" w14:textId="77777777" w:rsidR="00E96EE7" w:rsidRPr="00EF7CF9" w:rsidRDefault="00E96EE7" w:rsidP="00F01ED6">
      <w:pPr>
        <w:pStyle w:val="ProductList-ClauseHeading"/>
      </w:pPr>
      <w:r>
        <w:t>Crédito de Serviço: blobs de acesso frequente em Contas LRS, ZRS, GRS e RA-GRS (pedidos de escrita) and blobs em Contas de Armazenamento de Blobs de Blocos LRS</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48A7CAF7" w14:textId="77777777" w:rsidR="00E96EE7" w:rsidRPr="00EF7CF9" w:rsidRDefault="00E96EE7" w:rsidP="00F01ED6">
            <w:pPr>
              <w:pStyle w:val="ProductList-OfferingBody"/>
              <w:jc w:val="center"/>
              <w:rPr>
                <w:color w:val="FFFFFF" w:themeColor="background1"/>
              </w:rPr>
            </w:pPr>
            <w:r>
              <w:rPr>
                <w:color w:val="FFFFFF" w:themeColor="background1"/>
              </w:rPr>
              <w:t>Crédito de Serviço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F01ED6">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F01ED6">
            <w:pPr>
              <w:pStyle w:val="ProductList-OfferingBody"/>
              <w:jc w:val="center"/>
            </w:pPr>
            <w:r>
              <w:t>25%</w:t>
            </w:r>
          </w:p>
        </w:tc>
      </w:tr>
    </w:tbl>
    <w:p w14:paraId="41BB9927" w14:textId="77777777" w:rsidR="00E96EE7" w:rsidRPr="00AB3B99" w:rsidRDefault="00E96EE7" w:rsidP="00F01ED6">
      <w:pPr>
        <w:pStyle w:val="ProductList-Body"/>
        <w:rPr>
          <w:sz w:val="12"/>
          <w:szCs w:val="12"/>
        </w:rPr>
      </w:pPr>
    </w:p>
    <w:p w14:paraId="2A59E9BE" w14:textId="77777777" w:rsidR="008F5FF8" w:rsidRPr="00234C30" w:rsidRDefault="008F5FF8" w:rsidP="008F5FF8">
      <w:pPr>
        <w:pStyle w:val="ProductList-ClauseHeading"/>
        <w:rPr>
          <w:rFonts w:ascii="Calibri" w:hAnsi="Calibri" w:cs="Calibri"/>
        </w:rPr>
      </w:pPr>
      <w:bookmarkStart w:id="387" w:name="StorSimple"/>
      <w:bookmarkStart w:id="388" w:name="_Toc52349011"/>
      <w:r>
        <w:rPr>
          <w:rFonts w:ascii="Calibri" w:hAnsi="Calibri" w:cs="Calibri"/>
        </w:rPr>
        <w:t>Crédito de Serviço – blobs frequentes em Contas RA-GRS (pedidos de leitura)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788293A1" w14:textId="77777777" w:rsidTr="00661DF9">
        <w:trPr>
          <w:tblHeader/>
        </w:trPr>
        <w:tc>
          <w:tcPr>
            <w:tcW w:w="5400" w:type="dxa"/>
            <w:shd w:val="clear" w:color="auto" w:fill="0072C6"/>
          </w:tcPr>
          <w:p w14:paraId="5668E115"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108FD246"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0E56450C" w14:textId="77777777" w:rsidTr="00661DF9">
        <w:tc>
          <w:tcPr>
            <w:tcW w:w="5400" w:type="dxa"/>
          </w:tcPr>
          <w:p w14:paraId="44667D47" w14:textId="77777777" w:rsidR="008F5FF8" w:rsidRPr="00234C30" w:rsidRDefault="008F5FF8" w:rsidP="00661DF9">
            <w:pPr>
              <w:pStyle w:val="ProductList-OfferingBody"/>
              <w:jc w:val="center"/>
              <w:rPr>
                <w:rFonts w:ascii="Calibri" w:hAnsi="Calibri" w:cs="Calibri"/>
              </w:rPr>
            </w:pPr>
            <w:r>
              <w:rPr>
                <w:rFonts w:ascii="Calibri" w:hAnsi="Calibri" w:cs="Calibri"/>
              </w:rPr>
              <w:t>&lt; 99,99%</w:t>
            </w:r>
          </w:p>
        </w:tc>
        <w:tc>
          <w:tcPr>
            <w:tcW w:w="5400" w:type="dxa"/>
          </w:tcPr>
          <w:p w14:paraId="2AE0D4F3"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57B53BDF" w14:textId="77777777" w:rsidTr="00661DF9">
        <w:tc>
          <w:tcPr>
            <w:tcW w:w="5400" w:type="dxa"/>
          </w:tcPr>
          <w:p w14:paraId="1EA39DE0" w14:textId="77777777" w:rsidR="008F5FF8" w:rsidRPr="00234C30" w:rsidRDefault="008F5FF8" w:rsidP="00661DF9">
            <w:pPr>
              <w:pStyle w:val="ProductList-OfferingBody"/>
              <w:jc w:val="center"/>
              <w:rPr>
                <w:rFonts w:ascii="Calibri" w:hAnsi="Calibri" w:cs="Calibri"/>
              </w:rPr>
            </w:pPr>
            <w:r>
              <w:rPr>
                <w:rFonts w:ascii="Calibri" w:hAnsi="Calibri" w:cs="Calibri"/>
              </w:rPr>
              <w:t>&lt; 99%</w:t>
            </w:r>
          </w:p>
        </w:tc>
        <w:tc>
          <w:tcPr>
            <w:tcW w:w="5400" w:type="dxa"/>
          </w:tcPr>
          <w:p w14:paraId="05EC5CEA"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5EC6C30F" w14:textId="77777777" w:rsidR="008F5FF8" w:rsidRPr="00390BAB" w:rsidRDefault="008F5FF8" w:rsidP="008F5FF8">
      <w:pPr>
        <w:pStyle w:val="ProductList-Body"/>
        <w:rPr>
          <w:sz w:val="12"/>
          <w:szCs w:val="12"/>
        </w:rPr>
      </w:pPr>
    </w:p>
    <w:p w14:paraId="0A36099E" w14:textId="77777777" w:rsidR="008F5FF8" w:rsidRPr="00234C30" w:rsidRDefault="008F5FF8" w:rsidP="008F5FF8">
      <w:pPr>
        <w:pStyle w:val="ProductList-ClauseHeading"/>
        <w:rPr>
          <w:rFonts w:ascii="Calibri" w:hAnsi="Calibri" w:cs="Calibri"/>
        </w:rPr>
      </w:pPr>
      <w:r>
        <w:rPr>
          <w:rFonts w:ascii="Calibri" w:hAnsi="Calibri" w:cs="Calibri"/>
        </w:rPr>
        <w:t>Crédito de Serviço: Contas de Armazenamento de Blobs (Camada de Acesso Esporádico, Infrequente e de Arquivo) de LRS, ZRS, GRS e RA-GRS (pedidos de escrita)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0CB4A195" w14:textId="77777777" w:rsidTr="00661DF9">
        <w:trPr>
          <w:tblHeader/>
        </w:trPr>
        <w:tc>
          <w:tcPr>
            <w:tcW w:w="5400" w:type="dxa"/>
            <w:tcBorders>
              <w:bottom w:val="single" w:sz="4" w:space="0" w:color="auto"/>
            </w:tcBorders>
            <w:shd w:val="clear" w:color="auto" w:fill="0072C6"/>
          </w:tcPr>
          <w:p w14:paraId="561BACD7"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tcBorders>
              <w:bottom w:val="single" w:sz="4" w:space="0" w:color="auto"/>
            </w:tcBorders>
            <w:shd w:val="clear" w:color="auto" w:fill="0072C6"/>
          </w:tcPr>
          <w:p w14:paraId="7EC2A804"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2AB82776" w14:textId="77777777" w:rsidTr="00661DF9">
        <w:tc>
          <w:tcPr>
            <w:tcW w:w="5400" w:type="dxa"/>
            <w:tcBorders>
              <w:top w:val="single" w:sz="4" w:space="0" w:color="auto"/>
              <w:left w:val="single" w:sz="4" w:space="0" w:color="auto"/>
              <w:bottom w:val="single" w:sz="4" w:space="0" w:color="auto"/>
              <w:right w:val="single" w:sz="4" w:space="0" w:color="auto"/>
            </w:tcBorders>
          </w:tcPr>
          <w:p w14:paraId="08A79BFC" w14:textId="77777777" w:rsidR="008F5FF8" w:rsidRPr="00234C30" w:rsidRDefault="008F5FF8" w:rsidP="00661DF9">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2117D7A2"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1ECF1763" w14:textId="77777777" w:rsidTr="00661DF9">
        <w:tc>
          <w:tcPr>
            <w:tcW w:w="5400" w:type="dxa"/>
            <w:tcBorders>
              <w:top w:val="single" w:sz="4" w:space="0" w:color="auto"/>
              <w:left w:val="single" w:sz="4" w:space="0" w:color="auto"/>
              <w:bottom w:val="single" w:sz="4" w:space="0" w:color="auto"/>
              <w:right w:val="single" w:sz="4" w:space="0" w:color="auto"/>
            </w:tcBorders>
          </w:tcPr>
          <w:p w14:paraId="75CEA9E3" w14:textId="77777777" w:rsidR="008F5FF8" w:rsidRPr="00234C30" w:rsidRDefault="008F5FF8" w:rsidP="00661DF9">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1458695F"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09C0FB72" w14:textId="77777777" w:rsidR="008F5FF8" w:rsidRPr="00390BAB" w:rsidRDefault="008F5FF8" w:rsidP="008F5FF8">
      <w:pPr>
        <w:pStyle w:val="ProductList-Body"/>
        <w:rPr>
          <w:sz w:val="12"/>
          <w:szCs w:val="12"/>
        </w:rPr>
      </w:pPr>
    </w:p>
    <w:p w14:paraId="4B7B0D05" w14:textId="77777777" w:rsidR="008F5FF8" w:rsidRPr="00234C30" w:rsidRDefault="008F5FF8" w:rsidP="008F5FF8">
      <w:pPr>
        <w:pStyle w:val="ProductList-ClauseHeading"/>
        <w:rPr>
          <w:rFonts w:ascii="Calibri" w:hAnsi="Calibri" w:cs="Calibri"/>
        </w:rPr>
      </w:pPr>
      <w:r>
        <w:rPr>
          <w:rFonts w:ascii="Calibri" w:hAnsi="Calibri" w:cs="Calibri"/>
        </w:rPr>
        <w:t>Crédito de Serviço: Contas de Armazenamento de Blobs (Camada de Acesso Esporádico, Infrequente e de Arquivo) de RA-GRS (pedidos de leitura)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043A8C3D" w14:textId="77777777" w:rsidTr="00661DF9">
        <w:trPr>
          <w:tblHeader/>
        </w:trPr>
        <w:tc>
          <w:tcPr>
            <w:tcW w:w="5400" w:type="dxa"/>
            <w:shd w:val="clear" w:color="auto" w:fill="0072C6"/>
          </w:tcPr>
          <w:p w14:paraId="4AAF5308"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4311280E"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028E2912" w14:textId="77777777" w:rsidTr="00661DF9">
        <w:tc>
          <w:tcPr>
            <w:tcW w:w="5400" w:type="dxa"/>
          </w:tcPr>
          <w:p w14:paraId="5522A9E5" w14:textId="77777777" w:rsidR="008F5FF8" w:rsidRPr="00234C30" w:rsidRDefault="008F5FF8" w:rsidP="00661DF9">
            <w:pPr>
              <w:pStyle w:val="ProductList-OfferingBody"/>
              <w:jc w:val="center"/>
              <w:rPr>
                <w:rFonts w:ascii="Calibri" w:hAnsi="Calibri" w:cs="Calibri"/>
              </w:rPr>
            </w:pPr>
            <w:r>
              <w:rPr>
                <w:rFonts w:ascii="Calibri" w:hAnsi="Calibri" w:cs="Calibri"/>
              </w:rPr>
              <w:t>&lt; 99,9%</w:t>
            </w:r>
          </w:p>
        </w:tc>
        <w:tc>
          <w:tcPr>
            <w:tcW w:w="5400" w:type="dxa"/>
          </w:tcPr>
          <w:p w14:paraId="2DDC96B3"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62441412" w14:textId="77777777" w:rsidTr="00661DF9">
        <w:tc>
          <w:tcPr>
            <w:tcW w:w="5400" w:type="dxa"/>
          </w:tcPr>
          <w:p w14:paraId="22CA5B6D" w14:textId="77777777" w:rsidR="008F5FF8" w:rsidRPr="00234C30" w:rsidRDefault="008F5FF8" w:rsidP="00661DF9">
            <w:pPr>
              <w:pStyle w:val="ProductList-OfferingBody"/>
              <w:jc w:val="center"/>
              <w:rPr>
                <w:rFonts w:ascii="Calibri" w:hAnsi="Calibri" w:cs="Calibri"/>
              </w:rPr>
            </w:pPr>
            <w:r>
              <w:rPr>
                <w:rFonts w:ascii="Calibri" w:hAnsi="Calibri" w:cs="Calibri"/>
              </w:rPr>
              <w:t>&lt; 98%</w:t>
            </w:r>
          </w:p>
        </w:tc>
        <w:tc>
          <w:tcPr>
            <w:tcW w:w="5400" w:type="dxa"/>
          </w:tcPr>
          <w:p w14:paraId="48222DCE"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68C2E761" w14:textId="77777777" w:rsidR="008F5FF8" w:rsidRDefault="008F5FF8" w:rsidP="008F5FF8">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Exceções de Serviço</w:t>
      </w:r>
      <w:r>
        <w:rPr>
          <w:rFonts w:ascii="Calibri" w:hAnsi="Calibri" w:cs="Calibri"/>
          <w:b/>
          <w:bCs/>
          <w:color w:val="000000" w:themeColor="text1"/>
        </w:rPr>
        <w:t>:</w:t>
      </w:r>
      <w:r>
        <w:rPr>
          <w:rFonts w:ascii="Calibri" w:hAnsi="Calibri" w:cs="Calibri"/>
          <w:color w:val="000000" w:themeColor="text1"/>
        </w:rPr>
        <w:t xml:space="preserve"> O SLA de Esporádico, Infrequente e Arquivo são aplicáveis apenas aos tipos de conta de armazenamento que suportam a camada Esporádico, Infrequente e Arquivo.</w:t>
      </w:r>
    </w:p>
    <w:p w14:paraId="0C4064D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9F2F550" w14:textId="77777777" w:rsidR="000F2B16" w:rsidRPr="00EF7CF9" w:rsidRDefault="000F2B16" w:rsidP="00F01ED6">
      <w:pPr>
        <w:pStyle w:val="ProductList-Offering2Heading"/>
        <w:tabs>
          <w:tab w:val="clear" w:pos="360"/>
          <w:tab w:val="clear" w:pos="720"/>
          <w:tab w:val="clear" w:pos="1080"/>
        </w:tabs>
        <w:outlineLvl w:val="2"/>
      </w:pPr>
      <w:bookmarkStart w:id="389" w:name="_Toc182409725"/>
      <w:r>
        <w:t>StorSimple</w:t>
      </w:r>
      <w:bookmarkEnd w:id="387"/>
      <w:bookmarkEnd w:id="388"/>
      <w:bookmarkEnd w:id="389"/>
    </w:p>
    <w:p w14:paraId="08B9E4A5" w14:textId="77777777" w:rsidR="000F2B16" w:rsidRPr="00EF7CF9" w:rsidRDefault="000F2B16" w:rsidP="00F01ED6">
      <w:pPr>
        <w:pStyle w:val="ProductList-Body"/>
      </w:pPr>
      <w:r>
        <w:rPr>
          <w:b/>
          <w:color w:val="00188F"/>
        </w:rPr>
        <w:t>Definições Adicionais</w:t>
      </w:r>
      <w:r w:rsidRPr="00473DD3">
        <w:rPr>
          <w:b/>
          <w:color w:val="00188F"/>
        </w:rPr>
        <w:t>:</w:t>
      </w:r>
    </w:p>
    <w:p w14:paraId="5E85349A" w14:textId="36B3774A" w:rsidR="000F2B16" w:rsidRPr="00EF7CF9" w:rsidRDefault="00380305" w:rsidP="00593E99">
      <w:pPr>
        <w:pStyle w:val="ProductList-Body"/>
      </w:pPr>
      <w:r>
        <w:t>“</w:t>
      </w:r>
      <w:r w:rsidR="000F2B16">
        <w:rPr>
          <w:b/>
          <w:color w:val="00188F"/>
        </w:rPr>
        <w:t>Cópia de Segurança</w:t>
      </w:r>
      <w:r>
        <w:t>”</w:t>
      </w:r>
      <w:r w:rsidR="000F2B16">
        <w:t xml:space="preserve"> é o processo de criar cópias de segurança de dados armazenados num dispositivo StorSimple registado para uma ou mais contas de armazenamento em nuvem associadas no Microsoft Azure.</w:t>
      </w:r>
    </w:p>
    <w:p w14:paraId="373FEDA9" w14:textId="684D96E5" w:rsidR="000F2B16" w:rsidRPr="00EF7CF9" w:rsidRDefault="00380305" w:rsidP="00593E99">
      <w:pPr>
        <w:pStyle w:val="ProductList-Body"/>
      </w:pPr>
      <w:r>
        <w:t>“</w:t>
      </w:r>
      <w:r w:rsidR="000F2B16">
        <w:rPr>
          <w:b/>
          <w:color w:val="00188F"/>
        </w:rPr>
        <w:t>Criação de Camadas na Nuvem</w:t>
      </w:r>
      <w:r>
        <w:t>”</w:t>
      </w:r>
      <w:r w:rsidR="000F2B16">
        <w:t xml:space="preserve"> é o processo de transferir dados de um dispositivo StorSimple registado para uma ou mais contas de armazenamento em nuvem associadas no Microsoft Azure.</w:t>
      </w:r>
    </w:p>
    <w:p w14:paraId="2A8D2D95" w14:textId="6DEB2C6C" w:rsidR="000F2B16" w:rsidRPr="00EF7CF9" w:rsidRDefault="00380305" w:rsidP="00593E99">
      <w:pPr>
        <w:pStyle w:val="ProductList-Body"/>
      </w:pPr>
      <w:r>
        <w:t>“</w:t>
      </w:r>
      <w:r w:rsidR="000F2B16">
        <w:rPr>
          <w:b/>
          <w:color w:val="00188F"/>
        </w:rPr>
        <w:t>Falha</w:t>
      </w:r>
      <w:r>
        <w:t>”</w:t>
      </w:r>
      <w:r w:rsidR="000F2B16">
        <w:t xml:space="preserve"> designa a incapacidade de concluir na íntegra uma operação corretamente configurada de Cópia de Segurança, Criação de Camadas ou Restauro devido à indisponibilidade do Serviço StorSimple.</w:t>
      </w:r>
    </w:p>
    <w:p w14:paraId="051A8805" w14:textId="5FC63DF5" w:rsidR="000F2B16" w:rsidRPr="00EF7CF9" w:rsidRDefault="00380305" w:rsidP="00593E99">
      <w:pPr>
        <w:pStyle w:val="ProductList-Body"/>
      </w:pPr>
      <w:r>
        <w:t>“</w:t>
      </w:r>
      <w:r w:rsidR="000F2B16">
        <w:rPr>
          <w:b/>
          <w:color w:val="00188F"/>
        </w:rPr>
        <w:t>Item Gerido</w:t>
      </w:r>
      <w:r>
        <w:t>”</w:t>
      </w:r>
      <w:r w:rsidR="000F2B16">
        <w:t xml:space="preserve"> designa um volume que foi configurado para criar cópias de segurança para as contas de armazenamento em nuvem utilizando o</w:t>
      </w:r>
      <w:r w:rsidR="008F290E">
        <w:t> </w:t>
      </w:r>
      <w:r w:rsidR="000F2B16">
        <w:t>Serviço StorSimple.</w:t>
      </w:r>
    </w:p>
    <w:p w14:paraId="65E0E7F4" w14:textId="1DE2AC44" w:rsidR="000F2B16" w:rsidRPr="00EF7CF9" w:rsidRDefault="00380305" w:rsidP="00593E99">
      <w:pPr>
        <w:pStyle w:val="ProductList-Body"/>
      </w:pPr>
      <w:r>
        <w:t>“</w:t>
      </w:r>
      <w:r w:rsidR="000F2B16">
        <w:rPr>
          <w:b/>
          <w:color w:val="00188F"/>
        </w:rPr>
        <w:t>Restauro</w:t>
      </w:r>
      <w:r>
        <w:t>”</w:t>
      </w:r>
      <w:r w:rsidR="000F2B16">
        <w:t xml:space="preserve"> é o processo de cópia de dados para um dispositivo StorSimple registado a partir das respetivas contas de armazenamento em nuvem associadas.</w:t>
      </w:r>
    </w:p>
    <w:p w14:paraId="002F6811" w14:textId="329FC890" w:rsidR="000F2B16" w:rsidRPr="00377C64" w:rsidRDefault="00EE6E3C" w:rsidP="00ED6501">
      <w:pPr>
        <w:pStyle w:val="ProductList-Body"/>
        <w:rPr>
          <w:b/>
          <w:bCs/>
          <w:color w:val="00188F"/>
        </w:rPr>
      </w:pPr>
      <w:r>
        <w:rPr>
          <w:b/>
          <w:bCs/>
          <w:color w:val="00188F"/>
        </w:rPr>
        <w:t>Cálculo do Período de Disponibilidade e Níveis de Serviço para o Serviço StorSimple</w:t>
      </w:r>
    </w:p>
    <w:p w14:paraId="35B80149" w14:textId="635A0868" w:rsidR="000F2B16" w:rsidRPr="00EF7CF9" w:rsidRDefault="00380305" w:rsidP="00F01ED6">
      <w:pPr>
        <w:pStyle w:val="ProductList-Body"/>
        <w:spacing w:after="40"/>
      </w:pPr>
      <w:r>
        <w:t>“</w:t>
      </w:r>
      <w:r w:rsidR="000F2B16">
        <w:rPr>
          <w:b/>
          <w:color w:val="00188F"/>
        </w:rPr>
        <w:t>Minutos de Implementação</w:t>
      </w:r>
      <w:r>
        <w:t>”</w:t>
      </w:r>
      <w:r w:rsidR="000F2B16">
        <w:t xml:space="preserve"> designa o número total de minutos no qual um Item Gerido foi configurado pelo Cliente para Cópia de Segurança ou</w:t>
      </w:r>
      <w:r w:rsidR="00974563">
        <w:t> </w:t>
      </w:r>
      <w:r w:rsidR="000F2B16">
        <w:t>Criação de Camadas na Nuvem para uma conta de armazenamento StorSimple no Microsoft Azure.</w:t>
      </w:r>
    </w:p>
    <w:p w14:paraId="6F160E55" w14:textId="52211A28" w:rsidR="000F2B16" w:rsidRPr="00EF7CF9" w:rsidRDefault="00380305" w:rsidP="00F01ED6">
      <w:pPr>
        <w:pStyle w:val="ProductList-Body"/>
        <w:spacing w:after="40"/>
      </w:pPr>
      <w:r>
        <w:t>“</w:t>
      </w:r>
      <w:r w:rsidR="000F2B16">
        <w:rPr>
          <w:b/>
          <w:color w:val="00188F"/>
        </w:rPr>
        <w:t>Máximo de Minutos Disponíveis</w:t>
      </w:r>
      <w:r>
        <w:t>”</w:t>
      </w:r>
      <w:r w:rsidR="000F2B16">
        <w:t xml:space="preserve"> designa a soma de todos os Minutos de Implementação em todos os Itens Geridos numa determinada subscrição do Microsoft Azure durante um Período Aplicável.</w:t>
      </w:r>
    </w:p>
    <w:p w14:paraId="3C30BFAD" w14:textId="77777777" w:rsidR="000F2B16" w:rsidRPr="00EF7CF9" w:rsidRDefault="000F2B1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35361FCC" w14:textId="67AE494A" w:rsidR="000F2B1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6EA7AD" w14:textId="77777777" w:rsidR="000F2B16" w:rsidRPr="00593E99" w:rsidRDefault="000F2B16" w:rsidP="00F01ED6">
      <w:pPr>
        <w:pStyle w:val="ProductList-Body"/>
        <w:rPr>
          <w:sz w:val="12"/>
          <w:szCs w:val="12"/>
        </w:rPr>
      </w:pPr>
    </w:p>
    <w:p w14:paraId="48239E7E" w14:textId="33A0CC62" w:rsidR="000F2B16"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984315A" w14:textId="77777777" w:rsidR="000F2B16" w:rsidRPr="00EF7CF9" w:rsidRDefault="000F2B16" w:rsidP="00F01ED6">
      <w:pPr>
        <w:pStyle w:val="ProductList-Body"/>
      </w:pPr>
      <w:r>
        <w:rPr>
          <w:b/>
          <w:color w:val="00188F"/>
        </w:rPr>
        <w:t>Os seguintes Níveis de Serviço e Créditos de Serviço são aplicáveis à utilização que o Cliente faz do Serviço StorSimple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49B73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F01ED6">
            <w:pPr>
              <w:pStyle w:val="ProductList-OfferingBody"/>
              <w:jc w:val="center"/>
            </w:pPr>
            <w:r>
              <w:t>&lt; 99,9%</w:t>
            </w:r>
          </w:p>
        </w:tc>
        <w:tc>
          <w:tcPr>
            <w:tcW w:w="5400" w:type="dxa"/>
          </w:tcPr>
          <w:p w14:paraId="0D3DAB99" w14:textId="77777777" w:rsidR="000F2B16" w:rsidRPr="00EF7CF9" w:rsidRDefault="000F2B16" w:rsidP="00F01ED6">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F01ED6">
            <w:pPr>
              <w:pStyle w:val="ProductList-OfferingBody"/>
              <w:jc w:val="center"/>
            </w:pPr>
            <w:r>
              <w:t>&lt; 99%</w:t>
            </w:r>
          </w:p>
        </w:tc>
        <w:tc>
          <w:tcPr>
            <w:tcW w:w="5400" w:type="dxa"/>
          </w:tcPr>
          <w:p w14:paraId="6DB0249C" w14:textId="77777777" w:rsidR="000F2B16" w:rsidRPr="00EF7CF9" w:rsidRDefault="000F2B16" w:rsidP="00F01ED6">
            <w:pPr>
              <w:pStyle w:val="ProductList-OfferingBody"/>
              <w:jc w:val="center"/>
            </w:pPr>
            <w:r>
              <w:t>25%</w:t>
            </w:r>
          </w:p>
        </w:tc>
      </w:tr>
    </w:tbl>
    <w:p w14:paraId="6323CB84" w14:textId="0FD76210" w:rsidR="000F2B16" w:rsidRPr="00CB7596" w:rsidRDefault="00EE6E3C" w:rsidP="00F01ED6">
      <w:pPr>
        <w:pStyle w:val="ProductList-Body"/>
        <w:tabs>
          <w:tab w:val="clear" w:pos="360"/>
          <w:tab w:val="clear" w:pos="720"/>
          <w:tab w:val="clear" w:pos="1080"/>
        </w:tabs>
        <w:spacing w:before="240"/>
        <w:rPr>
          <w:b/>
          <w:bCs/>
          <w:color w:val="00188F"/>
          <w:szCs w:val="18"/>
        </w:rPr>
      </w:pPr>
      <w:r w:rsidRPr="00CB7596">
        <w:rPr>
          <w:b/>
          <w:bCs/>
          <w:color w:val="00188F"/>
          <w:szCs w:val="18"/>
        </w:rPr>
        <w:t>Cálculo do Período de Disponibilidade e Níveis de Serviço para o Gestor de Dados StorSimple</w:t>
      </w:r>
    </w:p>
    <w:p w14:paraId="6F438056" w14:textId="5FDA10A1" w:rsidR="000F2B16" w:rsidRPr="00CB7596" w:rsidRDefault="000F2B16" w:rsidP="00F01ED6">
      <w:pPr>
        <w:spacing w:after="40" w:line="240" w:lineRule="auto"/>
        <w:rPr>
          <w:rFonts w:eastAsia="Times New Roman" w:cstheme="minorHAnsi"/>
          <w:sz w:val="18"/>
          <w:szCs w:val="18"/>
        </w:rPr>
      </w:pPr>
      <w:r w:rsidRPr="00CB7596">
        <w:rPr>
          <w:sz w:val="18"/>
          <w:szCs w:val="18"/>
        </w:rPr>
        <w:t xml:space="preserve">O </w:t>
      </w:r>
      <w:r w:rsidR="00380305" w:rsidRPr="00CB7596">
        <w:rPr>
          <w:rFonts w:eastAsia="Times New Roman" w:cstheme="minorHAnsi"/>
          <w:bCs/>
          <w:sz w:val="18"/>
          <w:szCs w:val="18"/>
        </w:rPr>
        <w:t>“</w:t>
      </w:r>
      <w:r w:rsidRPr="00CB7596">
        <w:rPr>
          <w:rFonts w:eastAsia="Times New Roman" w:cstheme="minorHAnsi"/>
          <w:b/>
          <w:bCs/>
          <w:color w:val="00188F"/>
          <w:sz w:val="18"/>
          <w:szCs w:val="18"/>
        </w:rPr>
        <w:t>Total de Pedidos</w:t>
      </w:r>
      <w:r w:rsidR="00380305" w:rsidRPr="00CB7596">
        <w:rPr>
          <w:rFonts w:eastAsia="Times New Roman" w:cstheme="minorHAnsi"/>
          <w:sz w:val="18"/>
          <w:szCs w:val="18"/>
        </w:rPr>
        <w:t>”</w:t>
      </w:r>
      <w:r w:rsidRPr="00CB7596">
        <w:rPr>
          <w:rFonts w:eastAsia="Times New Roman" w:cstheme="minorHAnsi"/>
          <w:sz w:val="18"/>
          <w:szCs w:val="18"/>
        </w:rPr>
        <w:t xml:space="preserve"> designa o conjunto de todos os pedidos, sem contar com os Pedidos Excluídos, para executar operações relativamente ao</w:t>
      </w:r>
      <w:r w:rsidR="00253062">
        <w:rPr>
          <w:rFonts w:eastAsia="Times New Roman" w:cstheme="minorHAnsi"/>
          <w:sz w:val="18"/>
          <w:szCs w:val="18"/>
        </w:rPr>
        <w:t> </w:t>
      </w:r>
      <w:r w:rsidRPr="00CB7596">
        <w:rPr>
          <w:rFonts w:eastAsia="Times New Roman" w:cstheme="minorHAnsi"/>
          <w:sz w:val="18"/>
          <w:szCs w:val="18"/>
        </w:rPr>
        <w:t>serviço Gestor de Dados do StorSimple durante um Período Aplicável para uma determinada subscrição do Microsoft Azure.</w:t>
      </w:r>
    </w:p>
    <w:p w14:paraId="0B9F46FA" w14:textId="1F73381E"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Excluídos</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pedidos que resultam num código de estado HTTP 4xx.</w:t>
      </w:r>
    </w:p>
    <w:p w14:paraId="78728F4D" w14:textId="6A1DD741"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com Falha</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5DF07CCD" w14:textId="4115322F" w:rsidR="000F2B16" w:rsidRPr="00EF7CF9" w:rsidRDefault="00AC48A7" w:rsidP="00F01ED6">
      <w:pPr>
        <w:pStyle w:val="ProductList-Body"/>
        <w:keepNext/>
        <w:rPr>
          <w:rFonts w:cstheme="minorHAnsi"/>
        </w:rPr>
      </w:pPr>
      <w:r>
        <w:rPr>
          <w:rFonts w:cstheme="minorHAnsi"/>
          <w:b/>
          <w:color w:val="00188F"/>
        </w:rPr>
        <w:t>Percentagem de Período de Disponibilidade</w:t>
      </w:r>
      <w:r w:rsidRPr="00473DD3">
        <w:rPr>
          <w:rFonts w:cstheme="minorHAnsi"/>
          <w:b/>
          <w:color w:val="00188F"/>
        </w:rPr>
        <w:t>:</w:t>
      </w:r>
      <w:r>
        <w:rPr>
          <w:rFonts w:cstheme="minorHAnsi"/>
        </w:rPr>
        <w:t xml:space="preserve"> A Percentagem de Período de Disponibilidade é calculada através da seguinte fórmula:</w:t>
      </w:r>
    </w:p>
    <w:p w14:paraId="6DF099D0" w14:textId="77777777" w:rsidR="000F2B16" w:rsidRPr="00593E99" w:rsidRDefault="000F2B16" w:rsidP="00F01ED6">
      <w:pPr>
        <w:pStyle w:val="ProductList-Body"/>
        <w:rPr>
          <w:sz w:val="12"/>
          <w:szCs w:val="12"/>
        </w:rPr>
      </w:pPr>
    </w:p>
    <w:p w14:paraId="4249BC7E" w14:textId="6BA28B65" w:rsidR="000F2B16" w:rsidRPr="00EF7CF9" w:rsidRDefault="00000000" w:rsidP="00ED650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5217A6"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F01ED6">
            <w:pPr>
              <w:pStyle w:val="ProductList-OfferingBody"/>
              <w:jc w:val="center"/>
            </w:pPr>
            <w:r>
              <w:t>&lt; 99,9%</w:t>
            </w:r>
          </w:p>
        </w:tc>
        <w:tc>
          <w:tcPr>
            <w:tcW w:w="5400" w:type="dxa"/>
          </w:tcPr>
          <w:p w14:paraId="7EF12227" w14:textId="77777777" w:rsidR="000F2B16" w:rsidRPr="00EF7CF9" w:rsidRDefault="000F2B16" w:rsidP="00F01ED6">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F01ED6">
            <w:pPr>
              <w:pStyle w:val="ProductList-OfferingBody"/>
              <w:jc w:val="center"/>
            </w:pPr>
            <w:r>
              <w:t>&lt; 99%</w:t>
            </w:r>
          </w:p>
        </w:tc>
        <w:tc>
          <w:tcPr>
            <w:tcW w:w="5400" w:type="dxa"/>
          </w:tcPr>
          <w:p w14:paraId="59D51305" w14:textId="77777777" w:rsidR="000F2B16" w:rsidRPr="00EF7CF9" w:rsidRDefault="000F2B16" w:rsidP="00F01ED6">
            <w:pPr>
              <w:pStyle w:val="ProductList-OfferingBody"/>
              <w:jc w:val="center"/>
            </w:pPr>
            <w:r>
              <w:t>25%</w:t>
            </w:r>
          </w:p>
        </w:tc>
      </w:tr>
    </w:tbl>
    <w:bookmarkStart w:id="390" w:name="_Toc457821583"/>
    <w:bookmarkStart w:id="391" w:name="_Toc52348991"/>
    <w:p w14:paraId="0E06204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E16F70" w14:textId="77777777" w:rsidR="000F2B16" w:rsidRPr="00EF7CF9" w:rsidRDefault="000F2B16" w:rsidP="00F01ED6">
      <w:pPr>
        <w:pStyle w:val="ProductList-Offering2Heading"/>
        <w:tabs>
          <w:tab w:val="clear" w:pos="360"/>
          <w:tab w:val="clear" w:pos="720"/>
          <w:tab w:val="clear" w:pos="1080"/>
        </w:tabs>
        <w:outlineLvl w:val="2"/>
      </w:pPr>
      <w:bookmarkStart w:id="392" w:name="_Toc182409726"/>
      <w:r>
        <w:t>Azure Stream Analytics</w:t>
      </w:r>
      <w:bookmarkEnd w:id="390"/>
      <w:bookmarkEnd w:id="391"/>
      <w:bookmarkEnd w:id="392"/>
    </w:p>
    <w:p w14:paraId="7C7D2088" w14:textId="73851088" w:rsidR="000F2B16" w:rsidRPr="004D48F5" w:rsidRDefault="00EE6E3C" w:rsidP="00F01ED6">
      <w:pPr>
        <w:pStyle w:val="ProductList-Body"/>
        <w:rPr>
          <w:b/>
          <w:color w:val="00188F"/>
        </w:rPr>
      </w:pPr>
      <w:r>
        <w:rPr>
          <w:b/>
          <w:color w:val="00188F"/>
        </w:rPr>
        <w:t>Cálculo do Período de Disponibilidade para Chamadas da API de Stream Analytics</w:t>
      </w:r>
    </w:p>
    <w:p w14:paraId="6756038E" w14:textId="77777777" w:rsidR="000F2B16" w:rsidRPr="00EF7CF9" w:rsidRDefault="000F2B16" w:rsidP="00F01ED6">
      <w:pPr>
        <w:pStyle w:val="ProductList-Body"/>
      </w:pPr>
      <w:r>
        <w:rPr>
          <w:b/>
          <w:color w:val="00188F"/>
        </w:rPr>
        <w:t>Definições Adicionais</w:t>
      </w:r>
      <w:r w:rsidRPr="00473DD3">
        <w:rPr>
          <w:b/>
          <w:color w:val="00188F"/>
        </w:rPr>
        <w:t>:</w:t>
      </w:r>
    </w:p>
    <w:p w14:paraId="69D34C0E" w14:textId="737DE3C9" w:rsidR="000F2B16" w:rsidRPr="00EF7CF9" w:rsidRDefault="00380305" w:rsidP="00F01ED6">
      <w:pPr>
        <w:pStyle w:val="ProductList-Body"/>
        <w:spacing w:after="40"/>
      </w:pPr>
      <w:r>
        <w:t>“</w:t>
      </w:r>
      <w:r w:rsidR="000F2B16">
        <w:rPr>
          <w:b/>
          <w:color w:val="00188F"/>
        </w:rPr>
        <w:t>Total de Tentativas de Transação</w:t>
      </w:r>
      <w:r>
        <w:t>”</w:t>
      </w:r>
      <w:r w:rsidR="000F2B16">
        <w:t xml:space="preserve"> é o número total de pedidos de BES REST autenticados para gerir uma tarefa de transmissão em fluxo no</w:t>
      </w:r>
      <w:r w:rsidR="00451C0A">
        <w:t> </w:t>
      </w:r>
      <w:r w:rsidR="000F2B16">
        <w:t xml:space="preserve">Serviço Stream Analytics efetuado pelo Cliente durante um Período Aplicável para uma determinada subscrição do Microsoft Azure. </w:t>
      </w:r>
    </w:p>
    <w:p w14:paraId="6A199D62" w14:textId="574FCDED" w:rsidR="000F2B16" w:rsidRPr="00EF7CF9" w:rsidRDefault="00380305" w:rsidP="00F01ED6">
      <w:pPr>
        <w:pStyle w:val="ProductList-Body"/>
      </w:pPr>
      <w:r>
        <w:t>“</w:t>
      </w:r>
      <w:r w:rsidR="000F2B16">
        <w:rPr>
          <w:b/>
          <w:color w:val="00188F"/>
        </w:rPr>
        <w:t>Transações com Falha</w:t>
      </w:r>
      <w:r>
        <w:t>”</w:t>
      </w:r>
      <w:r w:rsidR="000F2B16">
        <w:t xml:space="preserve"> é o conjunto de todos os pedidos no Total de Tentativas de Transação que devolvem um Código de Erro ou de outro modo</w:t>
      </w:r>
      <w:r w:rsidR="00451C0A">
        <w:t> </w:t>
      </w:r>
      <w:r w:rsidR="000F2B16">
        <w:t>não devolvem um Código de Êxito no prazo de 5 minutos a partir da receção do pedido por parte da Microsoft.</w:t>
      </w:r>
    </w:p>
    <w:p w14:paraId="73B7B2CF" w14:textId="5FFCB653" w:rsidR="000F2B16" w:rsidRPr="00EF7CF9" w:rsidRDefault="000F2B16" w:rsidP="00F01ED6">
      <w:pPr>
        <w:pStyle w:val="ProductList-Body"/>
        <w:keepNext/>
      </w:pPr>
      <w:r>
        <w:t xml:space="preserve">A </w:t>
      </w:r>
      <w:r w:rsidR="00380305">
        <w:t>“</w:t>
      </w:r>
      <w:r>
        <w:rPr>
          <w:b/>
          <w:color w:val="00188F"/>
        </w:rPr>
        <w:t>Percentagem de Período de Disponibilidade</w:t>
      </w:r>
      <w:r w:rsidR="00380305">
        <w:t>”</w:t>
      </w:r>
      <w:r>
        <w:t xml:space="preserve"> para chamadas da API no Serviço Stream Analytics é representada pela seguinte fórmula: </w:t>
      </w:r>
    </w:p>
    <w:p w14:paraId="695392DA" w14:textId="77777777" w:rsidR="000F2B16" w:rsidRPr="00EF7CF9" w:rsidRDefault="000F2B16" w:rsidP="00F01ED6">
      <w:pPr>
        <w:pStyle w:val="ProductList-Body"/>
        <w:keepNext/>
      </w:pPr>
    </w:p>
    <w:p w14:paraId="4635A583" w14:textId="534D7907" w:rsidR="000F2B16" w:rsidRPr="009E2B16" w:rsidRDefault="006A28BC" w:rsidP="00F01ED6">
      <w:pPr>
        <w:spacing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29BC21A9" w:rsidR="000F2B16" w:rsidRPr="00EF7CF9" w:rsidRDefault="000F2B16" w:rsidP="00E31349">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D10B9B"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F01ED6">
            <w:pPr>
              <w:pStyle w:val="ProductList-OfferingBody"/>
              <w:jc w:val="center"/>
            </w:pPr>
            <w:r>
              <w:t>&lt; 99,9%</w:t>
            </w:r>
          </w:p>
        </w:tc>
        <w:tc>
          <w:tcPr>
            <w:tcW w:w="5400" w:type="dxa"/>
          </w:tcPr>
          <w:p w14:paraId="43437E77" w14:textId="77777777" w:rsidR="000F2B16" w:rsidRPr="00EF7CF9" w:rsidRDefault="000F2B16" w:rsidP="00F01ED6">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F01ED6">
            <w:pPr>
              <w:pStyle w:val="ProductList-OfferingBody"/>
              <w:jc w:val="center"/>
            </w:pPr>
            <w:r>
              <w:t>&lt; 99%</w:t>
            </w:r>
          </w:p>
        </w:tc>
        <w:tc>
          <w:tcPr>
            <w:tcW w:w="5400" w:type="dxa"/>
          </w:tcPr>
          <w:p w14:paraId="552030F9" w14:textId="77777777" w:rsidR="000F2B16" w:rsidRPr="00EF7CF9" w:rsidRDefault="000F2B16" w:rsidP="00F01ED6">
            <w:pPr>
              <w:pStyle w:val="ProductList-OfferingBody"/>
              <w:jc w:val="center"/>
            </w:pPr>
            <w:r>
              <w:t>25%</w:t>
            </w:r>
          </w:p>
        </w:tc>
      </w:tr>
    </w:tbl>
    <w:p w14:paraId="5B98E0DF" w14:textId="6ACB12BE" w:rsidR="000F2B16" w:rsidRPr="004D48F5" w:rsidRDefault="00EE6E3C" w:rsidP="00E13B53">
      <w:pPr>
        <w:pStyle w:val="ProductList-Body"/>
        <w:spacing w:before="120"/>
        <w:rPr>
          <w:b/>
          <w:color w:val="00188F"/>
        </w:rPr>
      </w:pPr>
      <w:r>
        <w:rPr>
          <w:b/>
          <w:color w:val="00188F"/>
        </w:rPr>
        <w:t>Cálculo do Período de Disponibilidade para Tarefas de Stream Analytics</w:t>
      </w:r>
    </w:p>
    <w:p w14:paraId="12F7A813" w14:textId="77777777" w:rsidR="000F2B16" w:rsidRPr="00EF7CF9" w:rsidRDefault="000F2B16" w:rsidP="00F01ED6">
      <w:pPr>
        <w:pStyle w:val="ProductList-Body"/>
      </w:pPr>
      <w:r>
        <w:rPr>
          <w:b/>
          <w:color w:val="00188F"/>
        </w:rPr>
        <w:t>Definições Adicionais</w:t>
      </w:r>
      <w:r w:rsidRPr="00473DD3">
        <w:rPr>
          <w:b/>
          <w:color w:val="00188F"/>
        </w:rPr>
        <w:t>:</w:t>
      </w:r>
    </w:p>
    <w:p w14:paraId="41F7AB4E" w14:textId="465A6AC0" w:rsidR="000F2B16" w:rsidRPr="00EF7CF9" w:rsidRDefault="00380305" w:rsidP="00F01ED6">
      <w:pPr>
        <w:pStyle w:val="ProductList-Body"/>
        <w:tabs>
          <w:tab w:val="left" w:pos="0"/>
        </w:tabs>
        <w:spacing w:after="40"/>
        <w:jc w:val="both"/>
      </w:pPr>
      <w:r>
        <w:t>“</w:t>
      </w:r>
      <w:r w:rsidR="000F2B16">
        <w:rPr>
          <w:b/>
          <w:color w:val="00188F"/>
        </w:rPr>
        <w:t>Minutos de Implementação</w:t>
      </w:r>
      <w:r>
        <w:t>”</w:t>
      </w:r>
      <w:r w:rsidR="000F2B16">
        <w:t xml:space="preserve"> designa o número total de minutos durante os quais uma determinada tarefa foi implementada no Serviço Stream Analytics durante um Período Aplicável.</w:t>
      </w:r>
    </w:p>
    <w:p w14:paraId="5573B756" w14:textId="5EF2EFD8" w:rsidR="000F2B16" w:rsidRDefault="00380305" w:rsidP="00F01ED6">
      <w:pPr>
        <w:pStyle w:val="ProductList-Body"/>
        <w:tabs>
          <w:tab w:val="left" w:pos="0"/>
        </w:tabs>
      </w:pPr>
      <w:r>
        <w:t>“</w:t>
      </w:r>
      <w:r w:rsidR="000F2B16">
        <w:rPr>
          <w:b/>
          <w:color w:val="00188F"/>
        </w:rPr>
        <w:t>Máximo de Minutos Disponíveis</w:t>
      </w:r>
      <w:r>
        <w:t>”</w:t>
      </w:r>
      <w:r w:rsidR="000F2B16">
        <w:t xml:space="preserve"> designa a soma de todos os Minutos de Implementação em todas as tarefas implementadas pelo Cliente numa determinada subscrição do Microsoft Azure durante um Período Aplicável.</w:t>
      </w:r>
    </w:p>
    <w:p w14:paraId="534D3C93" w14:textId="77777777" w:rsidR="000F2B16" w:rsidRPr="00EF7CF9" w:rsidRDefault="000F2B16" w:rsidP="00F01ED6">
      <w:pPr>
        <w:pStyle w:val="ProductList-Body"/>
        <w:tabs>
          <w:tab w:val="left" w:pos="0"/>
        </w:tabs>
        <w:jc w:val="both"/>
      </w:pPr>
      <w:r>
        <w:rPr>
          <w:b/>
          <w:color w:val="00188F"/>
        </w:rPr>
        <w:t>Período de Indisponibilidade</w:t>
      </w:r>
      <w:r>
        <w:t xml:space="preserve"> designa o total de Minutos de Implementação acumulados, em todas as tarefas implementadas pelo Cliente numa determinada subscrição do Microsoft Azure, na qual a tarefa está indisponível. Um minuto é considerado indisponível para uma tarefa implementada se a tarefa não estiver a processar dados, nem estiver disponível para processar dados no decurso desse minuto.</w:t>
      </w:r>
    </w:p>
    <w:p w14:paraId="5519C78A" w14:textId="2BF322DA" w:rsidR="000F2B16" w:rsidRPr="00EF7CF9" w:rsidRDefault="00AC48A7" w:rsidP="00F01ED6">
      <w:pPr>
        <w:pStyle w:val="ProductList-Body"/>
        <w:keepNext/>
        <w:tabs>
          <w:tab w:val="left" w:pos="0"/>
        </w:tabs>
        <w:jc w:val="both"/>
      </w:pPr>
      <w:r>
        <w:t xml:space="preserve">A </w:t>
      </w:r>
      <w:r>
        <w:rPr>
          <w:b/>
          <w:color w:val="00188F"/>
        </w:rPr>
        <w:t>Percentagem de Período de Disponibilidade</w:t>
      </w:r>
      <w:r>
        <w:t xml:space="preserve"> para tarefas no Serviço Stream Analytics é representada pela seguinte fórmula:</w:t>
      </w:r>
    </w:p>
    <w:p w14:paraId="5908E7CD" w14:textId="77777777" w:rsidR="000F2B16" w:rsidRPr="00EF7CF9" w:rsidRDefault="000F2B16" w:rsidP="00F01ED6">
      <w:pPr>
        <w:pStyle w:val="ProductList-Body"/>
        <w:tabs>
          <w:tab w:val="left" w:pos="0"/>
        </w:tabs>
        <w:jc w:val="both"/>
      </w:pPr>
    </w:p>
    <w:p w14:paraId="45B1882D" w14:textId="4A100F44" w:rsidR="000F2B1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204FB"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B49B9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F01ED6">
            <w:pPr>
              <w:pStyle w:val="ProductList-OfferingBody"/>
              <w:jc w:val="center"/>
            </w:pPr>
            <w:r>
              <w:t>&lt; 99,9%</w:t>
            </w:r>
          </w:p>
        </w:tc>
        <w:tc>
          <w:tcPr>
            <w:tcW w:w="5400" w:type="dxa"/>
          </w:tcPr>
          <w:p w14:paraId="414A1B75" w14:textId="77777777" w:rsidR="000F2B16" w:rsidRPr="00EF7CF9" w:rsidRDefault="000F2B16" w:rsidP="00F01ED6">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F01ED6">
            <w:pPr>
              <w:pStyle w:val="ProductList-OfferingBody"/>
              <w:jc w:val="center"/>
            </w:pPr>
            <w:r>
              <w:t>&lt; 99%</w:t>
            </w:r>
          </w:p>
        </w:tc>
        <w:tc>
          <w:tcPr>
            <w:tcW w:w="5400" w:type="dxa"/>
          </w:tcPr>
          <w:p w14:paraId="548FD21B" w14:textId="77777777" w:rsidR="000F2B16" w:rsidRPr="00EF7CF9" w:rsidRDefault="000F2B16" w:rsidP="00F01ED6">
            <w:pPr>
              <w:pStyle w:val="ProductList-OfferingBody"/>
              <w:jc w:val="center"/>
            </w:pPr>
            <w:r>
              <w:t>25%</w:t>
            </w:r>
          </w:p>
        </w:tc>
      </w:tr>
    </w:tbl>
    <w:bookmarkStart w:id="393" w:name="SQLDatabaseService_BasicStandardPremium"/>
    <w:bookmarkStart w:id="394" w:name="_Toc412532210"/>
    <w:p w14:paraId="1395AD9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6DF67F" w14:textId="77777777" w:rsidR="00532997" w:rsidRPr="00EF7CF9" w:rsidRDefault="00532997" w:rsidP="00E575FA">
      <w:pPr>
        <w:pStyle w:val="ProductList-Offering2Heading"/>
        <w:tabs>
          <w:tab w:val="clear" w:pos="360"/>
          <w:tab w:val="clear" w:pos="720"/>
          <w:tab w:val="clear" w:pos="1080"/>
        </w:tabs>
        <w:outlineLvl w:val="2"/>
      </w:pPr>
      <w:bookmarkStart w:id="395" w:name="_Toc182409727"/>
      <w:r>
        <w:t>Azure Synapse Analytics</w:t>
      </w:r>
      <w:bookmarkEnd w:id="395"/>
    </w:p>
    <w:p w14:paraId="22966524" w14:textId="77777777" w:rsidR="00532997" w:rsidRPr="00EF7CF9" w:rsidRDefault="00532997" w:rsidP="00F01ED6">
      <w:pPr>
        <w:pStyle w:val="ProductList-Body"/>
      </w:pPr>
      <w:r>
        <w:rPr>
          <w:b/>
          <w:color w:val="00188F"/>
        </w:rPr>
        <w:t>Definições Adicionais</w:t>
      </w:r>
      <w:r w:rsidRPr="00473DD3">
        <w:rPr>
          <w:b/>
          <w:color w:val="00188F"/>
        </w:rPr>
        <w:t>:</w:t>
      </w:r>
    </w:p>
    <w:p w14:paraId="7EB2EB6B" w14:textId="77777777" w:rsidR="00532997" w:rsidRPr="00ED4527" w:rsidRDefault="00532997" w:rsidP="00F01ED6">
      <w:pPr>
        <w:pStyle w:val="ProductList-Body"/>
        <w:spacing w:after="40"/>
        <w:rPr>
          <w:b/>
          <w:bCs/>
          <w:color w:val="00188F"/>
        </w:rPr>
      </w:pPr>
      <w:r>
        <w:rPr>
          <w:b/>
          <w:bCs/>
          <w:color w:val="00188F"/>
        </w:rPr>
        <w:t>Synapse SQL</w:t>
      </w:r>
    </w:p>
    <w:p w14:paraId="30FE63CE" w14:textId="455C7107"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Base de Dados</w:t>
      </w:r>
      <w:r>
        <w:rPr>
          <w:color w:val="000000" w:themeColor="text1"/>
        </w:rPr>
        <w:t>”</w:t>
      </w:r>
      <w:r w:rsidR="00532997">
        <w:rPr>
          <w:color w:val="000000" w:themeColor="text1"/>
        </w:rPr>
        <w:t xml:space="preserve"> designa qualquer base de dados Synapse SQL.</w:t>
      </w:r>
    </w:p>
    <w:p w14:paraId="2A479A19" w14:textId="542F4F6D"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designa o número total de minutos durante os quais uma determinada Base de Dados foi implementada no</w:t>
      </w:r>
      <w:r w:rsidR="00A675AC">
        <w:rPr>
          <w:color w:val="000000" w:themeColor="text1"/>
        </w:rPr>
        <w:t> </w:t>
      </w:r>
      <w:r w:rsidR="00532997">
        <w:rPr>
          <w:color w:val="000000" w:themeColor="text1"/>
        </w:rPr>
        <w:t>Microsoft Azure durante um Período Aplicável numa determinada subscrição do Microsoft Azure.</w:t>
      </w:r>
    </w:p>
    <w:p w14:paraId="17EF76C5" w14:textId="5539DA7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designa um conjunto de todas as operações documentadas suportadas pelo Azure Synapse Analytics.</w:t>
      </w:r>
    </w:p>
    <w:p w14:paraId="58AC1432" w14:textId="7066CE6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Período de Indisponibilidade</w:t>
      </w:r>
      <w:r>
        <w:rPr>
          <w:color w:val="000000" w:themeColor="text1"/>
        </w:rPr>
        <w:t>”</w:t>
      </w:r>
      <w:r w:rsidR="00532997">
        <w:rPr>
          <w:color w:val="000000" w:themeColor="text1"/>
        </w:rPr>
        <w:t xml:space="preserve"> designa o total de minutos acumulados durante um Período Aplicável para uma determinada subscrição do Microsoft Azure durante o qual uma determinada Base de Dados está indisponível. Um minuto é considerado indisponível para uma determinada Base de Dados se mais de 1% de todas as Operações do Cliente completadas durante esse minuto devolverem um Código de Erro.</w:t>
      </w:r>
    </w:p>
    <w:p w14:paraId="5C8F9795" w14:textId="5A74BD9A" w:rsidR="00532997" w:rsidRPr="006A28BC" w:rsidRDefault="00532997" w:rsidP="00F01ED6">
      <w:pPr>
        <w:pStyle w:val="ProductList-Body"/>
        <w:spacing w:after="40"/>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uma determinada Base de Dados designa um cálculo do Máximo de Minutos Disponíveis menos o Período de Indisponibilidade, a dividir pelo Máximo de Minutos Disponíveis num Período Aplicável numa determinada subscrição do Azure. </w:t>
      </w:r>
    </w:p>
    <w:p w14:paraId="0BB70BAB" w14:textId="18E2869A" w:rsidR="00532997" w:rsidRPr="00EF7CF9" w:rsidRDefault="00AC48A7" w:rsidP="00F01ED6">
      <w:pPr>
        <w:pStyle w:val="ProductList-Body"/>
      </w:pPr>
      <w:r>
        <w:rPr>
          <w:color w:val="000000" w:themeColor="text1"/>
        </w:rPr>
        <w:t>A Percentagem de Período de Disponibilidade é representada pela seguinte fórmula:</w:t>
      </w:r>
    </w:p>
    <w:p w14:paraId="08475F1D" w14:textId="6E75EA5E" w:rsidR="00532997" w:rsidRPr="00EF7CF9" w:rsidRDefault="00000000" w:rsidP="00F01ED6">
      <w:pPr>
        <w:pStyle w:val="ListParagraph"/>
        <w:spacing w:before="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1893A8" w14:textId="77777777" w:rsidR="00532997" w:rsidRPr="00EF7CF9" w:rsidRDefault="0053299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FCB274"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F01ED6">
            <w:pPr>
              <w:pStyle w:val="ProductList-OfferingBody"/>
              <w:jc w:val="center"/>
            </w:pPr>
            <w:r>
              <w:t>&lt; 99,9%</w:t>
            </w:r>
          </w:p>
        </w:tc>
        <w:tc>
          <w:tcPr>
            <w:tcW w:w="5400" w:type="dxa"/>
          </w:tcPr>
          <w:p w14:paraId="0DECC2FC" w14:textId="77777777" w:rsidR="00532997" w:rsidRPr="00EF7CF9" w:rsidRDefault="00532997" w:rsidP="00F01ED6">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F01ED6">
            <w:pPr>
              <w:pStyle w:val="ProductList-OfferingBody"/>
              <w:jc w:val="center"/>
            </w:pPr>
            <w:r>
              <w:t>&lt; 99%</w:t>
            </w:r>
          </w:p>
        </w:tc>
        <w:tc>
          <w:tcPr>
            <w:tcW w:w="5400" w:type="dxa"/>
          </w:tcPr>
          <w:p w14:paraId="06B1E4C8" w14:textId="77777777" w:rsidR="00532997" w:rsidRPr="00EF7CF9" w:rsidRDefault="00532997" w:rsidP="00F01ED6">
            <w:pPr>
              <w:pStyle w:val="ProductList-OfferingBody"/>
              <w:jc w:val="center"/>
            </w:pPr>
            <w:r>
              <w:t>25%</w:t>
            </w:r>
          </w:p>
        </w:tc>
      </w:tr>
    </w:tbl>
    <w:p w14:paraId="00B03A53" w14:textId="77777777" w:rsidR="00532997" w:rsidRPr="00ED4527" w:rsidRDefault="00532997" w:rsidP="00F01ED6">
      <w:pPr>
        <w:pStyle w:val="ProductList-Body"/>
        <w:spacing w:before="240"/>
        <w:rPr>
          <w:b/>
          <w:bCs/>
          <w:color w:val="00188F"/>
        </w:rPr>
      </w:pPr>
      <w:bookmarkStart w:id="396" w:name="_Toc457821578"/>
      <w:r>
        <w:rPr>
          <w:b/>
          <w:bCs/>
          <w:color w:val="00188F"/>
        </w:rPr>
        <w:t>Integração de Dados no Azure Synapse</w:t>
      </w:r>
    </w:p>
    <w:p w14:paraId="03BA2359" w14:textId="1E9EEA3B" w:rsidR="00532997" w:rsidRPr="00ED4527" w:rsidRDefault="00380305" w:rsidP="00F01ED6">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designa os runtimes de integração (incluindo o Azure e Runtimes de Integração Autoalojados), acionadores, pipelines, conjuntos de dados e serviços associados criados numa área de trabalho do Azure Synapse.</w:t>
      </w:r>
    </w:p>
    <w:p w14:paraId="16EAD2B8" w14:textId="69BBD5F9" w:rsidR="00532997" w:rsidRPr="00ED4527" w:rsidRDefault="00380305" w:rsidP="00F01ED6">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designa a execução ou a tentativa de execução de uma atividade.</w:t>
      </w:r>
    </w:p>
    <w:p w14:paraId="49A2A375" w14:textId="5F8625B1" w:rsidR="00532997" w:rsidRPr="00ED4527" w:rsidRDefault="00EE6E3C" w:rsidP="00F01ED6">
      <w:pPr>
        <w:pStyle w:val="ProductList-Body"/>
        <w:spacing w:before="120"/>
        <w:rPr>
          <w:b/>
          <w:bCs/>
          <w:color w:val="00188F"/>
        </w:rPr>
      </w:pPr>
      <w:r>
        <w:rPr>
          <w:b/>
          <w:bCs/>
          <w:color w:val="00188F"/>
        </w:rPr>
        <w:t>Cálculo do Período de Disponibilidade para Chamadas da API para a Integração de Dados</w:t>
      </w:r>
    </w:p>
    <w:p w14:paraId="7F65AC6D" w14:textId="5AE9C014" w:rsidR="00532997" w:rsidRPr="00ED4527" w:rsidRDefault="00380305" w:rsidP="00F01ED6">
      <w:pPr>
        <w:pStyle w:val="ProductList-Body"/>
        <w:rPr>
          <w:color w:val="000000" w:themeColor="text1"/>
        </w:rPr>
      </w:pPr>
      <w:r>
        <w:rPr>
          <w:color w:val="000000" w:themeColor="text1"/>
        </w:rPr>
        <w:t>“</w:t>
      </w:r>
      <w:r w:rsidR="00532997">
        <w:rPr>
          <w:b/>
          <w:bCs/>
          <w:color w:val="00188F"/>
        </w:rPr>
        <w:t>Total de Pedidos</w:t>
      </w:r>
      <w:r>
        <w:rPr>
          <w:color w:val="000000" w:themeColor="text1"/>
        </w:rPr>
        <w:t>”</w:t>
      </w:r>
      <w:r w:rsidR="00532997">
        <w:rPr>
          <w:color w:val="000000" w:themeColor="text1"/>
        </w:rPr>
        <w:t xml:space="preserve"> designa o conjunto de todos os pedidos, que não Pedidos Excluídos, para executar operações relativamente a Recursos de</w:t>
      </w:r>
      <w:r w:rsidR="009F224E">
        <w:rPr>
          <w:color w:val="000000" w:themeColor="text1"/>
        </w:rPr>
        <w:t> </w:t>
      </w:r>
      <w:r w:rsidR="00532997">
        <w:rPr>
          <w:color w:val="000000" w:themeColor="text1"/>
        </w:rPr>
        <w:t>Integração de Dados durante um Período Aplicável para uma determinada subscrição do Microsoft Azure.</w:t>
      </w:r>
    </w:p>
    <w:p w14:paraId="7A94DDB6" w14:textId="023E07E3" w:rsidR="00532997" w:rsidRPr="00ED4527" w:rsidRDefault="00380305" w:rsidP="00F01ED6">
      <w:pPr>
        <w:pStyle w:val="ProductList-Body"/>
        <w:rPr>
          <w:color w:val="000000" w:themeColor="text1"/>
        </w:rPr>
      </w:pPr>
      <w:r>
        <w:rPr>
          <w:color w:val="000000" w:themeColor="text1"/>
        </w:rPr>
        <w:t>“</w:t>
      </w:r>
      <w:r w:rsidR="00532997">
        <w:rPr>
          <w:b/>
          <w:bCs/>
          <w:color w:val="00188F"/>
        </w:rPr>
        <w:t>Pedidos Excluídos</w:t>
      </w:r>
      <w:r>
        <w:rPr>
          <w:color w:val="000000" w:themeColor="text1"/>
        </w:rPr>
        <w:t>”</w:t>
      </w:r>
      <w:r w:rsidR="00532997">
        <w:rPr>
          <w:color w:val="000000" w:themeColor="text1"/>
        </w:rPr>
        <w:t xml:space="preserve"> designa o conjunto de pedidos que resultam num código de estado HTTP 4xx, que não um código de estado HTTP 408.</w:t>
      </w:r>
    </w:p>
    <w:p w14:paraId="3C0A82BB" w14:textId="5CAAC1AA" w:rsidR="00532997" w:rsidRPr="00ED4527" w:rsidRDefault="00380305" w:rsidP="00F01ED6">
      <w:pPr>
        <w:pStyle w:val="ProductList-Body"/>
        <w:rPr>
          <w:color w:val="000000" w:themeColor="text1"/>
        </w:rPr>
      </w:pPr>
      <w:r>
        <w:rPr>
          <w:color w:val="000000" w:themeColor="text1"/>
        </w:rPr>
        <w:t>“</w:t>
      </w:r>
      <w:r w:rsidR="00532997">
        <w:rPr>
          <w:b/>
          <w:bCs/>
          <w:color w:val="00188F"/>
        </w:rPr>
        <w:t>Pedidos com Falha</w:t>
      </w:r>
      <w:r>
        <w:rPr>
          <w:color w:val="000000" w:themeColor="text1"/>
        </w:rPr>
        <w:t>”</w:t>
      </w:r>
      <w:r w:rsidR="00532997">
        <w:rPr>
          <w:color w:val="000000" w:themeColor="text1"/>
        </w:rPr>
        <w:t xml:space="preserve"> designa o conjunto de todos os pedidos no Total de Pedidos que devolvem um Código de Erro ou um código de estado HTTP 408 ou que não devolvem um Código de Êxito num prazo de dois minutos.</w:t>
      </w:r>
    </w:p>
    <w:p w14:paraId="7A462442" w14:textId="010D30FD" w:rsidR="00532997" w:rsidRPr="006A28BC" w:rsidRDefault="00532997" w:rsidP="00F01ED6">
      <w:pPr>
        <w:pStyle w:val="ProductList-Body"/>
        <w:tabs>
          <w:tab w:val="clear" w:pos="360"/>
          <w:tab w:val="clear" w:pos="720"/>
          <w:tab w:val="clear" w:pos="1080"/>
        </w:tabs>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as chamadas da API efetuadas para os Recursos de Integração de Dados é calculada como o Total de Pedidos menos os Pedidos com Falha a dividir pelo Total de Pedidos num Período Aplicável para uma determinada subscrição do Microsoft Azure. </w:t>
      </w:r>
    </w:p>
    <w:p w14:paraId="6FEA007E" w14:textId="5F7F1507" w:rsidR="00532997"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F21E02D" w14:textId="77777777" w:rsidR="00532997" w:rsidRPr="00ED4527" w:rsidRDefault="00532997" w:rsidP="00F01ED6">
      <w:pPr>
        <w:pStyle w:val="ProductList-Body"/>
        <w:tabs>
          <w:tab w:val="clear" w:pos="360"/>
          <w:tab w:val="clear" w:pos="720"/>
          <w:tab w:val="clear" w:pos="1080"/>
        </w:tabs>
        <w:rPr>
          <w:color w:val="000000" w:themeColor="text1"/>
        </w:rPr>
      </w:pPr>
    </w:p>
    <w:p w14:paraId="51A208AC" w14:textId="500E6C33" w:rsidR="00532997"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F01ED6">
      <w:pPr>
        <w:pStyle w:val="ProductList-Body"/>
      </w:pPr>
      <w:r>
        <w:rPr>
          <w:b/>
          <w:color w:val="00188F"/>
        </w:rPr>
        <w:t>Os seguintes Créditos de Serviço são aplicáveis à utilização que o Cliente faz das chamadas da API de Integração de Dados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BA7EB0A"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F01ED6">
            <w:pPr>
              <w:pStyle w:val="ProductList-OfferingBody"/>
              <w:jc w:val="center"/>
            </w:pPr>
            <w:r>
              <w:t>&lt; 99,9%</w:t>
            </w:r>
          </w:p>
        </w:tc>
        <w:tc>
          <w:tcPr>
            <w:tcW w:w="5400" w:type="dxa"/>
          </w:tcPr>
          <w:p w14:paraId="7D76A9D1" w14:textId="77777777" w:rsidR="00532997" w:rsidRPr="00EF7CF9" w:rsidRDefault="00532997" w:rsidP="00F01ED6">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F01ED6">
            <w:pPr>
              <w:pStyle w:val="ProductList-OfferingBody"/>
              <w:jc w:val="center"/>
            </w:pPr>
            <w:r>
              <w:t>&lt; 99%</w:t>
            </w:r>
          </w:p>
        </w:tc>
        <w:tc>
          <w:tcPr>
            <w:tcW w:w="5400" w:type="dxa"/>
          </w:tcPr>
          <w:p w14:paraId="20541ACD" w14:textId="77777777" w:rsidR="00532997" w:rsidRPr="00EF7CF9" w:rsidRDefault="00532997" w:rsidP="00F01ED6">
            <w:pPr>
              <w:pStyle w:val="ProductList-OfferingBody"/>
              <w:jc w:val="center"/>
            </w:pPr>
            <w:r>
              <w:t>25%</w:t>
            </w:r>
          </w:p>
        </w:tc>
      </w:tr>
    </w:tbl>
    <w:p w14:paraId="4D4CAB58" w14:textId="77777777" w:rsidR="00532997" w:rsidRPr="00ED4527" w:rsidRDefault="00532997" w:rsidP="00E13B53">
      <w:pPr>
        <w:pStyle w:val="ProductList-Body"/>
        <w:spacing w:before="120"/>
        <w:rPr>
          <w:b/>
          <w:bCs/>
          <w:color w:val="00188F"/>
        </w:rPr>
      </w:pPr>
      <w:r>
        <w:rPr>
          <w:b/>
          <w:bCs/>
          <w:color w:val="00188F"/>
        </w:rPr>
        <w:t>Apache Spark no Cálculo do Azure Synapse para Sessões do Spark</w:t>
      </w:r>
    </w:p>
    <w:p w14:paraId="11561E05" w14:textId="68EFB089" w:rsidR="00532997" w:rsidRPr="00ED4527" w:rsidRDefault="00380305" w:rsidP="00F01ED6">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designa o lançamento de uma nova sessão para executar uma tarefa, em modo interativo ou de lote. Excluindo as falhas de</w:t>
      </w:r>
      <w:r w:rsidR="00534AEA">
        <w:rPr>
          <w:color w:val="000000" w:themeColor="text1"/>
        </w:rPr>
        <w:t> </w:t>
      </w:r>
      <w:r w:rsidR="00532997">
        <w:rPr>
          <w:color w:val="000000" w:themeColor="text1"/>
        </w:rPr>
        <w:t>sessão devido a erros de utilizador, como recursos esgotados ou configuração de sessão.</w:t>
      </w:r>
    </w:p>
    <w:p w14:paraId="2FCA717F" w14:textId="77777777" w:rsidR="00532997" w:rsidRPr="00ED4527" w:rsidRDefault="00532997" w:rsidP="00F01ED6">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à utilização que o Cliente faz do Spark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6DA271"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F01ED6">
            <w:pPr>
              <w:pStyle w:val="ProductList-OfferingBody"/>
              <w:jc w:val="center"/>
            </w:pPr>
            <w:r>
              <w:t>&lt; 99%</w:t>
            </w:r>
          </w:p>
        </w:tc>
        <w:tc>
          <w:tcPr>
            <w:tcW w:w="5400" w:type="dxa"/>
          </w:tcPr>
          <w:p w14:paraId="4A46FE17" w14:textId="77777777" w:rsidR="00532997" w:rsidRPr="00EF7CF9" w:rsidRDefault="00532997" w:rsidP="00F01ED6">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F01ED6">
            <w:pPr>
              <w:pStyle w:val="ProductList-OfferingBody"/>
              <w:jc w:val="center"/>
            </w:pPr>
            <w:r>
              <w:t>&lt; 95%</w:t>
            </w:r>
          </w:p>
        </w:tc>
        <w:tc>
          <w:tcPr>
            <w:tcW w:w="5400" w:type="dxa"/>
          </w:tcPr>
          <w:p w14:paraId="1B8DFCAA" w14:textId="77777777" w:rsidR="00532997" w:rsidRPr="00EF7CF9" w:rsidRDefault="00532997" w:rsidP="00F01ED6">
            <w:pPr>
              <w:pStyle w:val="ProductList-OfferingBody"/>
              <w:jc w:val="center"/>
            </w:pPr>
            <w:r>
              <w:t>25%</w:t>
            </w:r>
          </w:p>
        </w:tc>
      </w:tr>
    </w:tbl>
    <w:bookmarkEnd w:id="393"/>
    <w:bookmarkEnd w:id="394"/>
    <w:bookmarkEnd w:id="396"/>
    <w:p w14:paraId="7041739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4F39E8" w14:textId="77777777" w:rsidR="00C5766D" w:rsidRPr="00C5766D" w:rsidRDefault="00C5766D" w:rsidP="00F01ED6">
      <w:pPr>
        <w:pStyle w:val="ProductList-Offering2Heading"/>
        <w:keepNext/>
        <w:tabs>
          <w:tab w:val="clear" w:pos="360"/>
          <w:tab w:val="clear" w:pos="720"/>
          <w:tab w:val="clear" w:pos="1080"/>
        </w:tabs>
        <w:outlineLvl w:val="2"/>
      </w:pPr>
      <w:bookmarkStart w:id="397" w:name="_Toc182409728"/>
      <w:r>
        <w:t>Azure Time Series Insights</w:t>
      </w:r>
      <w:bookmarkEnd w:id="397"/>
    </w:p>
    <w:p w14:paraId="136D5B37" w14:textId="77777777" w:rsidR="00C5766D" w:rsidRPr="0073097F" w:rsidRDefault="00C5766D" w:rsidP="00F01ED6">
      <w:pPr>
        <w:pStyle w:val="ProductList-Body"/>
        <w:rPr>
          <w:b/>
          <w:bCs/>
          <w:color w:val="00188F"/>
        </w:rPr>
      </w:pPr>
      <w:r>
        <w:rPr>
          <w:b/>
          <w:bCs/>
          <w:color w:val="00188F"/>
        </w:rPr>
        <w:t>Definições Adicionais</w:t>
      </w:r>
    </w:p>
    <w:p w14:paraId="6551100A" w14:textId="4137B1A3" w:rsidR="00C5766D" w:rsidRDefault="00380305" w:rsidP="00F01ED6">
      <w:pPr>
        <w:pStyle w:val="ProductList-Body"/>
      </w:pPr>
      <w:r>
        <w:t>“</w:t>
      </w:r>
      <w:r w:rsidR="00C5766D">
        <w:rPr>
          <w:b/>
          <w:bCs/>
          <w:color w:val="00188F"/>
        </w:rPr>
        <w:t>Ambiente</w:t>
      </w:r>
      <w:r>
        <w:t>”</w:t>
      </w:r>
      <w:r w:rsidR="00C5766D">
        <w:t xml:space="preserve"> designa um ambiente de Informações de Série Temporais.</w:t>
      </w:r>
    </w:p>
    <w:p w14:paraId="71E13F46" w14:textId="77777777" w:rsidR="00C5766D" w:rsidRPr="006F2862" w:rsidRDefault="00C5766D" w:rsidP="00F01ED6">
      <w:pPr>
        <w:pStyle w:val="ProductList-Body"/>
        <w:rPr>
          <w:sz w:val="12"/>
          <w:szCs w:val="12"/>
        </w:rPr>
      </w:pPr>
    </w:p>
    <w:p w14:paraId="694552FE" w14:textId="7E267157" w:rsidR="00C5766D" w:rsidRPr="0073097F" w:rsidRDefault="00EE6E3C" w:rsidP="00F01ED6">
      <w:pPr>
        <w:pStyle w:val="ProductList-Body"/>
        <w:rPr>
          <w:b/>
          <w:bCs/>
          <w:color w:val="00188F"/>
        </w:rPr>
      </w:pPr>
      <w:r>
        <w:rPr>
          <w:b/>
          <w:bCs/>
          <w:color w:val="00188F"/>
        </w:rPr>
        <w:t>Cálculo do Período de Disponibilidade e Níveis de Serviço para API dos planos de dados do Time Series Insights</w:t>
      </w:r>
    </w:p>
    <w:p w14:paraId="238DD023" w14:textId="0C553052" w:rsidR="00C5766D" w:rsidRPr="006A28BC" w:rsidRDefault="00380305" w:rsidP="00F01ED6">
      <w:pPr>
        <w:pStyle w:val="ProductList-Body"/>
        <w:jc w:val="both"/>
        <w:rPr>
          <w:spacing w:val="-3"/>
        </w:rPr>
      </w:pPr>
      <w:r>
        <w:rPr>
          <w:spacing w:val="-3"/>
        </w:rPr>
        <w:t>“</w:t>
      </w:r>
      <w:r w:rsidR="00C5766D" w:rsidRPr="006A28BC">
        <w:rPr>
          <w:b/>
          <w:bCs/>
          <w:color w:val="00188F"/>
          <w:spacing w:val="-3"/>
        </w:rPr>
        <w:t>API dos planos de dados das Informações de Série Temporais</w:t>
      </w:r>
      <w:r>
        <w:rPr>
          <w:spacing w:val="-3"/>
        </w:rPr>
        <w:t>”</w:t>
      </w:r>
      <w:r w:rsidR="00C5766D" w:rsidRPr="006A28BC">
        <w:rPr>
          <w:spacing w:val="-3"/>
        </w:rPr>
        <w:t xml:space="preserve"> designa uma API de consulta de análise de eventos para as Informações de Série Temporais.</w:t>
      </w:r>
    </w:p>
    <w:p w14:paraId="6B9213C0" w14:textId="4E16B840" w:rsidR="00C5766D" w:rsidRDefault="00380305" w:rsidP="00F01ED6">
      <w:pPr>
        <w:pStyle w:val="ProductList-Body"/>
      </w:pPr>
      <w:r>
        <w:t>“</w:t>
      </w:r>
      <w:r w:rsidR="00C5766D">
        <w:rPr>
          <w:b/>
          <w:bCs/>
          <w:color w:val="00188F"/>
        </w:rPr>
        <w:t>Pedido</w:t>
      </w:r>
      <w:r>
        <w:t>”</w:t>
      </w:r>
      <w:r w:rsidR="00C5766D">
        <w:t xml:space="preserve"> designa qualquer pedido documentado suportado pelas API dos planos de dados das Informações de Série Temporais.</w:t>
      </w:r>
    </w:p>
    <w:p w14:paraId="2396A988" w14:textId="6B813622" w:rsidR="00C5766D" w:rsidRDefault="00380305" w:rsidP="00F01ED6">
      <w:pPr>
        <w:pStyle w:val="ProductList-Body"/>
      </w:pPr>
      <w:r>
        <w:t>“</w:t>
      </w:r>
      <w:r w:rsidR="00C5766D">
        <w:rPr>
          <w:b/>
          <w:bCs/>
          <w:color w:val="00188F"/>
        </w:rPr>
        <w:t>Pedido com Falha</w:t>
      </w:r>
      <w:r>
        <w:t>”</w:t>
      </w:r>
      <w:r w:rsidR="00C5766D">
        <w:t xml:space="preserve"> designa um Pedido que devolve um Código de Erro.</w:t>
      </w:r>
    </w:p>
    <w:p w14:paraId="22EFBCA1" w14:textId="665BEF2F" w:rsidR="00C5766D" w:rsidRDefault="00380305" w:rsidP="00F01ED6">
      <w:pPr>
        <w:pStyle w:val="ProductList-Body"/>
      </w:pPr>
      <w:r>
        <w:t>“</w:t>
      </w:r>
      <w:r w:rsidR="00C5766D">
        <w:rPr>
          <w:b/>
          <w:bCs/>
          <w:color w:val="00188F"/>
        </w:rPr>
        <w:t>Taxa de Erros</w:t>
      </w:r>
      <w:r>
        <w:t>”</w:t>
      </w:r>
      <w:r w:rsidR="00C5766D">
        <w:t xml:space="preserve"> designa o número total de Pedidos com Falha a dividir pelo número total de Pedidos durante um determinado intervalo de um minuto, para todos os Ambientes numa certa Subscrição do Microsoft Azure. Se o utilizador não fez quaisquer Pedidos neste minuto, a Taxa de Erros para esse intervalo é de 0%.</w:t>
      </w:r>
    </w:p>
    <w:p w14:paraId="202FE9CA" w14:textId="769C51C5" w:rsidR="00C5766D" w:rsidRDefault="00C5766D" w:rsidP="00F01ED6">
      <w:pPr>
        <w:pStyle w:val="ProductList-Body"/>
      </w:pPr>
      <w:r>
        <w:t xml:space="preserve">A </w:t>
      </w:r>
      <w:r w:rsidR="00380305">
        <w:t>“</w:t>
      </w:r>
      <w:r>
        <w:rPr>
          <w:b/>
          <w:bCs/>
          <w:color w:val="00188F"/>
        </w:rPr>
        <w:t>Taxa Média de Erros</w:t>
      </w:r>
      <w:r w:rsidR="00380305">
        <w:t>”</w:t>
      </w:r>
      <w:r>
        <w:t xml:space="preserve"> para um Período Aplicável designa a soma das Taxas de Erros para cada minuto no Período Aplicável a dividir pelo número total de minutos no Período Aplicável.</w:t>
      </w:r>
    </w:p>
    <w:p w14:paraId="471C3B56" w14:textId="00691256" w:rsidR="00B84D9B" w:rsidRDefault="00C5766D" w:rsidP="008D412A">
      <w:pPr>
        <w:pStyle w:val="ProductList-Body"/>
        <w:rPr>
          <w:spacing w:val="-3"/>
        </w:rPr>
      </w:pPr>
      <w:r w:rsidRPr="006A28BC">
        <w:rPr>
          <w:spacing w:val="-3"/>
        </w:rPr>
        <w:t xml:space="preserve">A </w:t>
      </w:r>
      <w:r w:rsidR="00380305">
        <w:rPr>
          <w:spacing w:val="-3"/>
        </w:rPr>
        <w:t>“</w:t>
      </w:r>
      <w:r w:rsidRPr="006A28BC">
        <w:rPr>
          <w:b/>
          <w:bCs/>
          <w:color w:val="00188F"/>
          <w:spacing w:val="-3"/>
        </w:rPr>
        <w:t>Percentagem de Disponibilidade</w:t>
      </w:r>
      <w:r w:rsidR="00380305">
        <w:rPr>
          <w:spacing w:val="-3"/>
        </w:rPr>
        <w:t>”</w:t>
      </w:r>
      <w:r w:rsidRPr="006A28BC">
        <w:rPr>
          <w:spacing w:val="-3"/>
        </w:rPr>
        <w:t xml:space="preserve"> para a API dos planos de dados do Time Series Insights é calculada ao subtrair de 100% a Taxa Média de Erros para uma determinada subscrição do Microsoft Azure num Período Aplicável. A Percentagem de Disponibilidade é representada pela seguinte fórmula:</w:t>
      </w:r>
    </w:p>
    <w:p w14:paraId="0FB82498" w14:textId="77777777" w:rsidR="008D412A" w:rsidRPr="008D412A" w:rsidRDefault="008D412A" w:rsidP="008D412A">
      <w:pPr>
        <w:pStyle w:val="ProductList-Body"/>
        <w:rPr>
          <w:spacing w:val="-3"/>
        </w:rPr>
      </w:pPr>
    </w:p>
    <w:p w14:paraId="11B18E61" w14:textId="5D9568C8" w:rsidR="00B84D9B" w:rsidRPr="00DB1B7E" w:rsidRDefault="00B84D9B" w:rsidP="00F01ED6">
      <w:pPr>
        <w:pStyle w:val="ProductList-Body"/>
        <w:tabs>
          <w:tab w:val="clear" w:pos="360"/>
          <w:tab w:val="clear" w:pos="720"/>
          <w:tab w:val="clear" w:pos="1080"/>
        </w:tabs>
        <w:jc w:val="center"/>
        <w:rPr>
          <w:rFonts w:ascii="Cambria Math" w:hAnsi="Cambria Math"/>
          <w:i/>
          <w:iCs/>
          <w:color w:val="000000" w:themeColor="text1"/>
        </w:rPr>
      </w:pPr>
      <w:r w:rsidRPr="00F01ED6">
        <w:rPr>
          <w:rFonts w:ascii="Cambria Math" w:hAnsi="Cambria Math"/>
          <w:color w:val="000000" w:themeColor="text1"/>
        </w:rPr>
        <w:t>100%</w:t>
      </w:r>
      <w:r>
        <w:rPr>
          <w:rFonts w:ascii="Cambria Math" w:hAnsi="Cambria Math"/>
          <w:i/>
          <w:iCs/>
          <w:color w:val="000000" w:themeColor="text1"/>
        </w:rPr>
        <w:t xml:space="preserve"> </w:t>
      </w:r>
      <w:r w:rsidR="00D2686E">
        <w:rPr>
          <w:rFonts w:ascii="Cambria Math" w:hAnsi="Cambria Math"/>
          <w:i/>
          <w:iCs/>
          <w:color w:val="000000" w:themeColor="text1"/>
        </w:rPr>
        <w:t>–</w:t>
      </w:r>
      <w:r>
        <w:rPr>
          <w:rFonts w:ascii="Cambria Math" w:hAnsi="Cambria Math"/>
          <w:i/>
          <w:iCs/>
          <w:color w:val="000000" w:themeColor="text1"/>
        </w:rPr>
        <w:t xml:space="preserve"> Taxa Média de Erros</w:t>
      </w:r>
    </w:p>
    <w:p w14:paraId="021E8443" w14:textId="77777777" w:rsidR="0018615A" w:rsidRPr="006A28BC" w:rsidRDefault="0018615A" w:rsidP="00F01ED6">
      <w:pPr>
        <w:pStyle w:val="ProductList-Body"/>
        <w:rPr>
          <w:color w:val="00188F"/>
          <w:sz w:val="16"/>
        </w:rPr>
      </w:pPr>
    </w:p>
    <w:p w14:paraId="392F59FB" w14:textId="127DE09C" w:rsidR="00C5766D" w:rsidRPr="0018615A" w:rsidRDefault="00C5766D" w:rsidP="00F01ED6">
      <w:pPr>
        <w:pStyle w:val="ProductList-Body"/>
        <w:rPr>
          <w:b/>
          <w:bCs/>
          <w:color w:val="00188F"/>
        </w:rPr>
      </w:pPr>
      <w:r>
        <w:rPr>
          <w:b/>
          <w:bCs/>
          <w:color w:val="00188F"/>
        </w:rPr>
        <w:t>Os seguintes Níveis de Serviço e Créditos de Serviço são aplicáveis à utilização que o Cliente faz da API dos planos de dados das Informações de Série Temporais: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F01ED6">
            <w:pPr>
              <w:pStyle w:val="ProductList-OfferingBody"/>
              <w:jc w:val="center"/>
              <w:rPr>
                <w:color w:val="FFFFFF" w:themeColor="background1"/>
              </w:rPr>
            </w:pPr>
            <w:r>
              <w:rPr>
                <w:color w:val="FFFFFF" w:themeColor="background1"/>
              </w:rPr>
              <w:t>Percentagem de Disponibilidade</w:t>
            </w:r>
          </w:p>
        </w:tc>
        <w:tc>
          <w:tcPr>
            <w:tcW w:w="5400" w:type="dxa"/>
            <w:shd w:val="clear" w:color="auto" w:fill="0072C6"/>
          </w:tcPr>
          <w:p w14:paraId="21B30544" w14:textId="77777777" w:rsidR="00DB1B7E" w:rsidRPr="00EF7CF9" w:rsidRDefault="00DB1B7E" w:rsidP="00F01ED6">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F01ED6">
            <w:pPr>
              <w:pStyle w:val="ProductList-OfferingBody"/>
              <w:jc w:val="center"/>
            </w:pPr>
            <w:r>
              <w:t>&lt; 99,9%</w:t>
            </w:r>
          </w:p>
        </w:tc>
        <w:tc>
          <w:tcPr>
            <w:tcW w:w="5400" w:type="dxa"/>
          </w:tcPr>
          <w:p w14:paraId="4AE3A834" w14:textId="77777777" w:rsidR="00DB1B7E" w:rsidRPr="00EF7CF9" w:rsidRDefault="00DB1B7E" w:rsidP="00F01ED6">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F01ED6">
            <w:pPr>
              <w:pStyle w:val="ProductList-OfferingBody"/>
              <w:jc w:val="center"/>
            </w:pPr>
            <w:r>
              <w:t>&lt; 99%</w:t>
            </w:r>
          </w:p>
        </w:tc>
        <w:tc>
          <w:tcPr>
            <w:tcW w:w="5400" w:type="dxa"/>
          </w:tcPr>
          <w:p w14:paraId="12E881A2" w14:textId="77777777" w:rsidR="00DB1B7E" w:rsidRPr="00EF7CF9" w:rsidRDefault="00DB1B7E" w:rsidP="00F01ED6">
            <w:pPr>
              <w:pStyle w:val="ProductList-OfferingBody"/>
              <w:jc w:val="center"/>
            </w:pPr>
            <w:r>
              <w:t>25%</w:t>
            </w:r>
          </w:p>
        </w:tc>
      </w:tr>
    </w:tbl>
    <w:bookmarkStart w:id="398" w:name="_Toc412532214"/>
    <w:bookmarkStart w:id="399" w:name="_Toc457821585"/>
    <w:bookmarkStart w:id="400" w:name="_Toc52348993"/>
    <w:p w14:paraId="1BC5BAB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175CE1" w14:textId="77777777" w:rsidR="00895748" w:rsidRPr="00EF7CF9" w:rsidRDefault="00895748" w:rsidP="00F01ED6">
      <w:pPr>
        <w:pStyle w:val="ProductList-Offering2Heading"/>
        <w:tabs>
          <w:tab w:val="clear" w:pos="360"/>
          <w:tab w:val="clear" w:pos="720"/>
          <w:tab w:val="clear" w:pos="1080"/>
        </w:tabs>
        <w:outlineLvl w:val="2"/>
      </w:pPr>
      <w:bookmarkStart w:id="401" w:name="_Toc182409729"/>
      <w:r>
        <w:t>Serviço de Gestor de Tráfego</w:t>
      </w:r>
      <w:bookmarkEnd w:id="398"/>
      <w:bookmarkEnd w:id="399"/>
      <w:bookmarkEnd w:id="400"/>
      <w:bookmarkEnd w:id="401"/>
    </w:p>
    <w:p w14:paraId="7C53001F" w14:textId="77777777" w:rsidR="00895748" w:rsidRPr="00EF7CF9" w:rsidRDefault="00895748" w:rsidP="00F01ED6">
      <w:pPr>
        <w:pStyle w:val="ProductList-Body"/>
      </w:pPr>
      <w:r>
        <w:rPr>
          <w:b/>
          <w:color w:val="00188F"/>
        </w:rPr>
        <w:t>Definições Adicionais</w:t>
      </w:r>
      <w:r w:rsidRPr="00473DD3">
        <w:rPr>
          <w:b/>
          <w:color w:val="00188F"/>
        </w:rPr>
        <w:t>:</w:t>
      </w:r>
    </w:p>
    <w:p w14:paraId="1738A40B" w14:textId="6F659FA8" w:rsidR="00895748" w:rsidRPr="00EF7CF9" w:rsidRDefault="00380305" w:rsidP="00F01ED6">
      <w:pPr>
        <w:pStyle w:val="ProductList-Body"/>
        <w:spacing w:after="40"/>
      </w:pPr>
      <w:r>
        <w:t>“</w:t>
      </w:r>
      <w:r w:rsidR="00895748">
        <w:rPr>
          <w:b/>
          <w:color w:val="00188F"/>
        </w:rPr>
        <w:t>Minutos de Implementação</w:t>
      </w:r>
      <w:r>
        <w:t>”</w:t>
      </w:r>
      <w:r w:rsidR="00895748">
        <w:t xml:space="preserve"> designa o número total de minutos durante os quais um determinado Perfil do Gestor de Tráfego esteve implementado no Microsoft Azure durante um Período Aplicável.</w:t>
      </w:r>
    </w:p>
    <w:p w14:paraId="72F9FA5B" w14:textId="3AD44BB7" w:rsidR="00895748" w:rsidRPr="00EF7CF9" w:rsidRDefault="00380305" w:rsidP="00F01ED6">
      <w:pPr>
        <w:pStyle w:val="ProductList-Body"/>
        <w:spacing w:after="40"/>
      </w:pPr>
      <w:r>
        <w:t>“</w:t>
      </w:r>
      <w:r w:rsidR="00895748">
        <w:rPr>
          <w:b/>
          <w:color w:val="00188F"/>
        </w:rPr>
        <w:t>Máximo de Minutos Disponíveis</w:t>
      </w:r>
      <w:r>
        <w:t>”</w:t>
      </w:r>
      <w:r w:rsidR="00895748">
        <w:t xml:space="preserve"> designa a soma de todos os Minutos de Implementação em todos os Perfis do Gestor de Tráfego implementados pelo Cliente numa determinada subscrição do Microsoft Azure durante um Período Aplicável.</w:t>
      </w:r>
    </w:p>
    <w:p w14:paraId="7B067662" w14:textId="2B9534E1" w:rsidR="00895748" w:rsidRPr="00EF7CF9" w:rsidRDefault="00380305" w:rsidP="00F01ED6">
      <w:pPr>
        <w:pStyle w:val="ProductList-Body"/>
      </w:pPr>
      <w:r>
        <w:t>“</w:t>
      </w:r>
      <w:r w:rsidR="00895748">
        <w:rPr>
          <w:b/>
          <w:color w:val="00188F"/>
        </w:rPr>
        <w:t>Perfil do Gestor de Tráfego</w:t>
      </w:r>
      <w:r>
        <w:t>”</w:t>
      </w:r>
      <w:r w:rsidR="00895748">
        <w:t xml:space="preserve"> ou </w:t>
      </w:r>
      <w:r>
        <w:t>“</w:t>
      </w:r>
      <w:r w:rsidR="00895748">
        <w:rPr>
          <w:b/>
          <w:color w:val="00188F"/>
        </w:rPr>
        <w:t>Perfil</w:t>
      </w:r>
      <w:r>
        <w:t>”</w:t>
      </w:r>
      <w:r w:rsidR="00895748">
        <w:t xml:space="preserve"> designa uma implementação do Serviço de Gestor de Tráfego criada pelo Cliente que contém um nome de domínio, pontos finais e outras definições de configuração, tal como representado no Portal de Gestão.</w:t>
      </w:r>
    </w:p>
    <w:p w14:paraId="41F87B39" w14:textId="0945A18C" w:rsidR="00895748" w:rsidRPr="00EF7CF9" w:rsidRDefault="00380305" w:rsidP="00F01ED6">
      <w:pPr>
        <w:pStyle w:val="ProductList-Body"/>
      </w:pPr>
      <w:r>
        <w:t>“</w:t>
      </w:r>
      <w:r w:rsidR="00895748">
        <w:rPr>
          <w:b/>
          <w:color w:val="00188F"/>
        </w:rPr>
        <w:t>Resposta de DNS Válida</w:t>
      </w:r>
      <w:r>
        <w:t>”</w:t>
      </w:r>
      <w:r w:rsidR="00895748">
        <w:t xml:space="preserve"> designa uma resposta de DNS, recebida de pelo menos um dos clusters de servidores de nomes do Serviço Gestor de</w:t>
      </w:r>
      <w:r w:rsidR="0043464F">
        <w:t> </w:t>
      </w:r>
      <w:r w:rsidR="00895748">
        <w:t>Tráfego, para um pedido de DNS para nome de domínio especificado num determinado Perfil do Gestor de Tráfego.</w:t>
      </w:r>
    </w:p>
    <w:p w14:paraId="749C09A7" w14:textId="77777777" w:rsidR="00895748" w:rsidRPr="00EF7CF9" w:rsidRDefault="00895748" w:rsidP="00F01ED6">
      <w:pPr>
        <w:pStyle w:val="ProductList-Body"/>
      </w:pPr>
      <w:r>
        <w:rPr>
          <w:b/>
          <w:color w:val="00188F"/>
        </w:rPr>
        <w:t>Período de Indisponibilidade</w:t>
      </w:r>
      <w:r w:rsidRPr="00473DD3">
        <w:rPr>
          <w:b/>
          <w:color w:val="00188F"/>
        </w:rPr>
        <w:t>:</w:t>
      </w:r>
      <w:r>
        <w:t xml:space="preserve"> O total de Minutos de Implementação acumulados, em todos os Perfis implementados pelo Cliente numa determinada subscrição do Microsoft Azure, no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13F3A862" w14:textId="5F0A748A" w:rsidR="0089574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7FD6AAE" w14:textId="77777777" w:rsidR="008D412A" w:rsidRPr="008D412A" w:rsidRDefault="008D412A" w:rsidP="00F01ED6">
      <w:pPr>
        <w:pStyle w:val="ProductList-Body"/>
      </w:pPr>
    </w:p>
    <w:p w14:paraId="058F6251" w14:textId="797F4A29" w:rsidR="00895748"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8BB5F11" w14:textId="77777777" w:rsidR="00895748" w:rsidRPr="00EF7CF9" w:rsidRDefault="00895748"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3D4B45"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895748" w:rsidRPr="00B44CF9" w14:paraId="03E16A40" w14:textId="77777777" w:rsidTr="00277097">
        <w:tc>
          <w:tcPr>
            <w:tcW w:w="5400" w:type="dxa"/>
          </w:tcPr>
          <w:p w14:paraId="1AA31257" w14:textId="77777777" w:rsidR="00895748" w:rsidRPr="00EF7CF9" w:rsidRDefault="00895748" w:rsidP="00F01ED6">
            <w:pPr>
              <w:pStyle w:val="ProductList-OfferingBody"/>
              <w:jc w:val="center"/>
            </w:pPr>
            <w:r>
              <w:t>&lt; 99,99%</w:t>
            </w:r>
          </w:p>
        </w:tc>
        <w:tc>
          <w:tcPr>
            <w:tcW w:w="5400" w:type="dxa"/>
          </w:tcPr>
          <w:p w14:paraId="7D035504" w14:textId="77777777" w:rsidR="00895748" w:rsidRPr="00EF7CF9" w:rsidRDefault="00895748" w:rsidP="00F01ED6">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F01ED6">
            <w:pPr>
              <w:pStyle w:val="ProductList-OfferingBody"/>
              <w:jc w:val="center"/>
            </w:pPr>
            <w:r>
              <w:t>&lt; 99%</w:t>
            </w:r>
          </w:p>
        </w:tc>
        <w:tc>
          <w:tcPr>
            <w:tcW w:w="5400" w:type="dxa"/>
          </w:tcPr>
          <w:p w14:paraId="4E874CB9" w14:textId="77777777" w:rsidR="00895748" w:rsidRPr="00EF7CF9" w:rsidRDefault="00895748" w:rsidP="00F01ED6">
            <w:pPr>
              <w:pStyle w:val="ProductList-OfferingBody"/>
              <w:jc w:val="center"/>
            </w:pPr>
            <w:r>
              <w:t>25%</w:t>
            </w:r>
          </w:p>
        </w:tc>
      </w:tr>
    </w:tbl>
    <w:bookmarkStart w:id="402" w:name="_Toc412532215"/>
    <w:bookmarkStart w:id="403" w:name="_Toc457821586"/>
    <w:bookmarkStart w:id="404" w:name="VirtualMachines"/>
    <w:bookmarkStart w:id="405" w:name="_Toc52348994"/>
    <w:p w14:paraId="27CB2D9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E6F79CE" w14:textId="77777777" w:rsidR="00895748" w:rsidRPr="00EF7CF9" w:rsidRDefault="00895748" w:rsidP="00547ECC">
      <w:pPr>
        <w:pStyle w:val="ProductList-Offering2Heading"/>
        <w:tabs>
          <w:tab w:val="clear" w:pos="360"/>
          <w:tab w:val="clear" w:pos="720"/>
          <w:tab w:val="clear" w:pos="1080"/>
        </w:tabs>
        <w:outlineLvl w:val="2"/>
      </w:pPr>
      <w:bookmarkStart w:id="406" w:name="_Toc182409730"/>
      <w:r>
        <w:t>Máquinas Virtuais</w:t>
      </w:r>
      <w:bookmarkEnd w:id="402"/>
      <w:bookmarkEnd w:id="403"/>
      <w:bookmarkEnd w:id="404"/>
      <w:bookmarkEnd w:id="405"/>
      <w:bookmarkEnd w:id="406"/>
    </w:p>
    <w:p w14:paraId="15A0C13C" w14:textId="77777777" w:rsidR="00895748" w:rsidRPr="00EF7CF9" w:rsidRDefault="00895748" w:rsidP="00F01ED6">
      <w:pPr>
        <w:pStyle w:val="ProductList-Body"/>
      </w:pPr>
      <w:r>
        <w:rPr>
          <w:b/>
          <w:color w:val="00188F"/>
        </w:rPr>
        <w:t>Definições Adicionais</w:t>
      </w:r>
      <w:r w:rsidRPr="00473DD3">
        <w:rPr>
          <w:b/>
          <w:color w:val="00188F"/>
        </w:rPr>
        <w:t>:</w:t>
      </w:r>
    </w:p>
    <w:p w14:paraId="18B3CD8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Conjunto de Disponibilidade</w:t>
      </w:r>
      <w:r w:rsidRPr="00CE37D2">
        <w:rPr>
          <w:rFonts w:ascii="Calibri" w:hAnsi="Calibri" w:cs="Calibri"/>
        </w:rPr>
        <w:t>” designa duas ou mais Máquinas Virtuais implementadas em diferentes Domínios com Erro para evitar um único ponto de falha.</w:t>
      </w:r>
    </w:p>
    <w:p w14:paraId="44E0388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Zona de Disponibilidade</w:t>
      </w:r>
      <w:r w:rsidRPr="00CE37D2">
        <w:rPr>
          <w:rFonts w:ascii="Calibri" w:hAnsi="Calibri" w:cs="Calibri"/>
        </w:rPr>
        <w:t>” designa uma área isolada de falhas numa região do Azure que providencia alimentação, refrigeração e rede redundantes.</w:t>
      </w:r>
    </w:p>
    <w:p w14:paraId="68E5DC13" w14:textId="77777777" w:rsidR="00264BC1" w:rsidRPr="00CE37D2" w:rsidRDefault="00264BC1" w:rsidP="00264BC1">
      <w:pPr>
        <w:pStyle w:val="ProductList-Body"/>
        <w:rPr>
          <w:rFonts w:ascii="Calibri" w:hAnsi="Calibri" w:cs="Calibri"/>
        </w:rPr>
      </w:pPr>
      <w:r w:rsidRPr="00CE37D2">
        <w:rPr>
          <w:rFonts w:ascii="Calibri" w:hAnsi="Calibri" w:cs="Calibri"/>
        </w:rPr>
        <w:t xml:space="preserve">O </w:t>
      </w:r>
      <w:r w:rsidRPr="00CE37D2">
        <w:rPr>
          <w:rFonts w:ascii="Calibri" w:hAnsi="Calibri" w:cs="Calibri"/>
          <w:color w:val="00188F"/>
        </w:rPr>
        <w:t>“</w:t>
      </w:r>
      <w:r w:rsidRPr="00CE37D2">
        <w:rPr>
          <w:rFonts w:ascii="Calibri" w:hAnsi="Calibri" w:cs="Calibri"/>
          <w:b/>
          <w:bCs/>
          <w:color w:val="00188F"/>
        </w:rPr>
        <w:t>Azure Dedicated Host</w:t>
      </w:r>
      <w:r w:rsidRPr="00CE37D2">
        <w:rPr>
          <w:rFonts w:ascii="Calibri" w:hAnsi="Calibri" w:cs="Calibri"/>
          <w:color w:val="00188F"/>
        </w:rPr>
        <w:t>”</w:t>
      </w:r>
      <w:r w:rsidRPr="00CE37D2">
        <w:rPr>
          <w:rFonts w:ascii="Calibri" w:hAnsi="Calibri" w:cs="Calibri"/>
        </w:rPr>
        <w:t xml:space="preserve"> fornece aos servidores físicos que alojam uma ou mais máquinas virtuais do Azure a definição (predefinida) de autoReplaceOnFailure necessária para qualquer SLA.</w:t>
      </w:r>
    </w:p>
    <w:p w14:paraId="5538ABD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Disco de Dados</w:t>
      </w:r>
      <w:r w:rsidRPr="00CE37D2">
        <w:rPr>
          <w:rFonts w:ascii="Calibri" w:hAnsi="Calibri" w:cs="Calibri"/>
        </w:rPr>
        <w:t>” é um disco rígido virtual persistente, exposto a uma Máquina Virtual, utilizado para armazenar os dados da aplicação.</w:t>
      </w:r>
    </w:p>
    <w:p w14:paraId="7A25BA0F" w14:textId="77777777" w:rsidR="00264BC1" w:rsidRPr="00CE37D2" w:rsidRDefault="00264BC1" w:rsidP="00264BC1">
      <w:pPr>
        <w:pStyle w:val="ProductList-Body"/>
        <w:rPr>
          <w:rFonts w:ascii="Calibri" w:hAnsi="Calibri" w:cs="Calibri"/>
        </w:rPr>
      </w:pPr>
      <w:r w:rsidRPr="00CE37D2">
        <w:rPr>
          <w:rFonts w:ascii="Calibri" w:hAnsi="Calibri" w:cs="Calibri"/>
          <w:color w:val="00188F"/>
        </w:rPr>
        <w:t>“</w:t>
      </w:r>
      <w:r w:rsidRPr="00CE37D2">
        <w:rPr>
          <w:rFonts w:ascii="Calibri" w:hAnsi="Calibri" w:cs="Calibri"/>
          <w:b/>
          <w:bCs/>
          <w:color w:val="00188F"/>
        </w:rPr>
        <w:t>Grupo de Dedicated Hosts</w:t>
      </w:r>
      <w:r w:rsidRPr="00CE37D2">
        <w:rPr>
          <w:rFonts w:ascii="Calibri" w:hAnsi="Calibri" w:cs="Calibri"/>
          <w:color w:val="00188F"/>
        </w:rPr>
        <w:t>”</w:t>
      </w:r>
      <w:r w:rsidRPr="00CE37D2">
        <w:rPr>
          <w:rFonts w:ascii="Calibri" w:hAnsi="Calibri" w:cs="Calibri"/>
        </w:rPr>
        <w:t xml:space="preserve"> é uma coleção de Azure Dedicated Hosts implementados na região do Azure em diferentes Domínios de Falha para evitar um ponto único de falha.</w:t>
      </w:r>
    </w:p>
    <w:p w14:paraId="145FD8EC"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Domínio com Erro</w:t>
      </w:r>
      <w:r w:rsidRPr="00CE37D2">
        <w:rPr>
          <w:rFonts w:ascii="Calibri" w:hAnsi="Calibri" w:cs="Calibri"/>
        </w:rPr>
        <w:t>” é um conjunto de servidores que partilham recursos comuns como a alimentação e conectividade da rede.</w:t>
      </w:r>
    </w:p>
    <w:p w14:paraId="3C1198CC" w14:textId="77777777" w:rsidR="00264BC1" w:rsidRPr="00CE37D2" w:rsidRDefault="00264BC1" w:rsidP="00264BC1">
      <w:pPr>
        <w:pStyle w:val="ProductList-Body"/>
        <w:rPr>
          <w:rFonts w:ascii="Calibri" w:hAnsi="Calibri" w:cs="Calibri"/>
        </w:rPr>
      </w:pPr>
      <w:r w:rsidRPr="00CE37D2">
        <w:rPr>
          <w:rFonts w:ascii="Calibri" w:hAnsi="Calibri" w:cs="Calibri"/>
        </w:rPr>
        <w:t>O “</w:t>
      </w:r>
      <w:r w:rsidRPr="00CE37D2">
        <w:rPr>
          <w:rFonts w:ascii="Calibri" w:hAnsi="Calibri" w:cs="Calibri"/>
          <w:b/>
          <w:color w:val="00188F"/>
        </w:rPr>
        <w:t>Disco do Sistema Operativo</w:t>
      </w:r>
      <w:r w:rsidRPr="00CE37D2">
        <w:rPr>
          <w:rFonts w:ascii="Calibri" w:hAnsi="Calibri" w:cs="Calibri"/>
        </w:rPr>
        <w:t>” é um disco rígido virtual persistente, exposto a uma Máquina Virtual, utilizado para armazenar o sistema operativo da Máquina Virtual.</w:t>
      </w:r>
    </w:p>
    <w:p w14:paraId="0A1F936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D95212">
        <w:rPr>
          <w:rFonts w:ascii="Calibri" w:hAnsi="Calibri" w:cs="Calibri"/>
          <w:b/>
          <w:color w:val="00188F"/>
        </w:rPr>
        <w:t>Disco Partilhado</w:t>
      </w:r>
      <w:r w:rsidRPr="00CE37D2">
        <w:rPr>
          <w:rFonts w:ascii="Calibri" w:hAnsi="Calibri" w:cs="Calibri"/>
        </w:rPr>
        <w:t>” é um Disco de Dados ligado a várias Máquinas Virtuais em simultâneo.</w:t>
      </w:r>
    </w:p>
    <w:p w14:paraId="78662F87"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 de Instância Única</w:t>
      </w:r>
      <w:r w:rsidRPr="00CE37D2">
        <w:rPr>
          <w:rFonts w:ascii="Calibri" w:hAnsi="Calibri" w:cs="Calibri"/>
        </w:rPr>
        <w:t xml:space="preserve">” é definida como qualquer Máquina Virtual do Microsoft Azure única que não está implementada num Conjunto de Disponibilidade ou que tem uma instância implementada num Conjunto de Disponibilidade. </w:t>
      </w:r>
    </w:p>
    <w:p w14:paraId="033A43D6"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w:t>
      </w:r>
      <w:r w:rsidRPr="00CE37D2">
        <w:rPr>
          <w:rFonts w:ascii="Calibri" w:hAnsi="Calibri" w:cs="Calibri"/>
        </w:rPr>
        <w:t xml:space="preserve">” designa os tipos de instância persistentes que podem ser implementados individualmente ou como parte de um Conjunto de Disponibilidade ou utilizar um Grupo de Dedicated Hosts. Uma máquina virtual pode ser implementada num ambiente multi-inquilino no Azure ou num ambiente de inquilino único isolado através de Azure Dedicated Hosts. </w:t>
      </w:r>
    </w:p>
    <w:p w14:paraId="6D490A88"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Conectividade da Máquina Virtual</w:t>
      </w:r>
      <w:r w:rsidRPr="00CE37D2">
        <w:rPr>
          <w:rFonts w:ascii="Calibri" w:hAnsi="Calibri" w:cs="Calibri"/>
        </w:rPr>
        <w:t>”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2626008A" w14:textId="77777777" w:rsidR="00264BC1" w:rsidRPr="00CE37D2" w:rsidRDefault="00264BC1" w:rsidP="00264BC1">
      <w:pPr>
        <w:pStyle w:val="ProductList-Body"/>
        <w:rPr>
          <w:rFonts w:ascii="Calibri" w:hAnsi="Calibri" w:cs="Calibri"/>
          <w:b/>
          <w:color w:val="00188F"/>
        </w:rPr>
      </w:pPr>
      <w:r w:rsidRPr="00CE37D2">
        <w:rPr>
          <w:rFonts w:ascii="Calibri" w:hAnsi="Calibri" w:cs="Calibri"/>
          <w:b/>
          <w:color w:val="00188F"/>
        </w:rPr>
        <w:t>Cálculo do Período de Disponibilidade e Níveis de Serviço para as Máquinas Virtuais em Zonas de Disponibilidade</w:t>
      </w:r>
    </w:p>
    <w:p w14:paraId="1AEF85BA"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Máximo de Minutos Disponíveis</w:t>
      </w:r>
      <w:r w:rsidRPr="002F17AD">
        <w:rPr>
          <w:rFonts w:ascii="Calibri" w:hAnsi="Calibri" w:cs="Calibri"/>
        </w:rPr>
        <w:t>” designa o total de minutos acumulados durante um Período Aplicável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71E9F102"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Período de Indisponibilidade</w:t>
      </w:r>
      <w:r w:rsidRPr="002F17AD">
        <w:rPr>
          <w:rFonts w:ascii="Calibri" w:hAnsi="Calibri" w:cs="Calibri"/>
        </w:rPr>
        <w:t>” designa o total de minutos acumulados que fazem parte do Máximo de Minutos Disponíveis sem Conectividade da Máquina Virtual na região.</w:t>
      </w:r>
    </w:p>
    <w:p w14:paraId="36CFBBA9" w14:textId="77777777" w:rsidR="00264BC1" w:rsidRDefault="00264BC1" w:rsidP="00264BC1">
      <w:pPr>
        <w:pStyle w:val="ProductList-Body"/>
        <w:ind w:left="360"/>
        <w:rPr>
          <w:rFonts w:ascii="Calibri" w:hAnsi="Calibri" w:cs="Calibri"/>
        </w:rPr>
      </w:pPr>
      <w:r w:rsidRPr="002F17AD">
        <w:rPr>
          <w:rFonts w:ascii="Calibri" w:hAnsi="Calibri" w:cs="Calibri"/>
        </w:rPr>
        <w:t>A “</w:t>
      </w:r>
      <w:r w:rsidRPr="002F17AD">
        <w:rPr>
          <w:rFonts w:ascii="Calibri" w:hAnsi="Calibri" w:cs="Calibri"/>
          <w:b/>
          <w:color w:val="0072C6"/>
        </w:rPr>
        <w:t>Percentagem de Período de Disponibilidade</w:t>
      </w:r>
      <w:r w:rsidRPr="002F17AD">
        <w:rPr>
          <w:rFonts w:ascii="Calibri" w:hAnsi="Calibri" w:cs="Calibri"/>
        </w:rPr>
        <w:t>” para as Máquinas Virtuais nas Zonas de Disponibilidade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648B86F0" w14:textId="77777777" w:rsidR="003F5829" w:rsidRPr="002F17AD" w:rsidRDefault="003F5829" w:rsidP="00264BC1">
      <w:pPr>
        <w:pStyle w:val="ProductList-Body"/>
        <w:ind w:left="360"/>
        <w:rPr>
          <w:rFonts w:ascii="Calibri" w:hAnsi="Calibri" w:cs="Calibri"/>
        </w:rPr>
      </w:pPr>
    </w:p>
    <w:p w14:paraId="5A5F0574" w14:textId="77777777" w:rsidR="00264BC1" w:rsidRPr="00434BE0" w:rsidRDefault="00264BC1" w:rsidP="00AD13B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0A6122CA"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920487">
        <w:rPr>
          <w:rFonts w:ascii="Calibri" w:hAnsi="Calibri" w:cs="Calibri"/>
          <w:b/>
          <w:color w:val="0072C6"/>
        </w:rPr>
        <w:t>:</w:t>
      </w:r>
    </w:p>
    <w:p w14:paraId="4B804539"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implementadas em duas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37DB4FE" w14:textId="77777777" w:rsidTr="00E50F69">
        <w:trPr>
          <w:tblHeader/>
        </w:trPr>
        <w:tc>
          <w:tcPr>
            <w:tcW w:w="5040" w:type="dxa"/>
            <w:shd w:val="clear" w:color="auto" w:fill="0072C6"/>
          </w:tcPr>
          <w:p w14:paraId="12EC6B22"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12D6BF83"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264BC1" w:rsidRPr="00B44CF9" w14:paraId="2A39439F" w14:textId="77777777" w:rsidTr="00E50F69">
        <w:tc>
          <w:tcPr>
            <w:tcW w:w="5040" w:type="dxa"/>
          </w:tcPr>
          <w:p w14:paraId="18955B27" w14:textId="77777777" w:rsidR="00264BC1" w:rsidRPr="00EC3D00" w:rsidRDefault="00264BC1" w:rsidP="00E50F69">
            <w:pPr>
              <w:pStyle w:val="ProductList-OfferingBody"/>
              <w:jc w:val="center"/>
              <w:rPr>
                <w:rFonts w:ascii="Calibri" w:hAnsi="Calibri" w:cs="Calibri"/>
              </w:rPr>
            </w:pPr>
            <w:r>
              <w:rPr>
                <w:rFonts w:ascii="Calibri" w:hAnsi="Calibri" w:cs="Calibri"/>
              </w:rPr>
              <w:t>&lt; 99,99%</w:t>
            </w:r>
          </w:p>
        </w:tc>
        <w:tc>
          <w:tcPr>
            <w:tcW w:w="5400" w:type="dxa"/>
          </w:tcPr>
          <w:p w14:paraId="34D6A9B5"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F2A0BA5" w14:textId="77777777" w:rsidTr="00E50F69">
        <w:tc>
          <w:tcPr>
            <w:tcW w:w="5040" w:type="dxa"/>
          </w:tcPr>
          <w:p w14:paraId="71E3ED72"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0192194"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1B5EDDB1" w14:textId="77777777" w:rsidTr="00E50F69">
        <w:tc>
          <w:tcPr>
            <w:tcW w:w="5040" w:type="dxa"/>
          </w:tcPr>
          <w:p w14:paraId="3B0DB3D3"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7B87B4C"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216B82EE"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num Conjunto de Disponibilidade, ou no mesmo Grupo de Dedicated Hosts</w:t>
      </w:r>
    </w:p>
    <w:p w14:paraId="348A9DB5" w14:textId="77777777" w:rsidR="00264BC1" w:rsidRPr="00EC3D00" w:rsidRDefault="00264BC1" w:rsidP="00264BC1">
      <w:pPr>
        <w:pStyle w:val="ProductList-Body"/>
        <w:ind w:left="360"/>
        <w:rPr>
          <w:rFonts w:ascii="Calibri" w:hAnsi="Calibri" w:cs="Calibri"/>
        </w:rPr>
      </w:pPr>
      <w:r>
        <w:rPr>
          <w:rFonts w:ascii="Calibri" w:hAnsi="Calibri" w:cs="Calibri"/>
          <w:b/>
          <w:color w:val="0070C0"/>
        </w:rPr>
        <w:t>Máximo de Minutos Disponíveis</w:t>
      </w:r>
      <w:r w:rsidRPr="00466CB4">
        <w:rPr>
          <w:rFonts w:ascii="Calibri" w:hAnsi="Calibri" w:cs="Calibri"/>
          <w:b/>
          <w:color w:val="0070C0"/>
        </w:rPr>
        <w:t>:</w:t>
      </w:r>
      <w:r>
        <w:rPr>
          <w:rFonts w:ascii="Calibri" w:hAnsi="Calibri" w:cs="Calibri"/>
        </w:rPr>
        <w:t xml:space="preserve"> O total de minutos acumulados durante um Período Aplicável para todas as Máquinas Virtuais com interface para a Internet que tenham duas ou mais instâncias implementadas no mesmo Conjunto de Disponibilidade ou no mesmo Grupo de Dedicated Hosts. O Máximo de Minutos Disponíveis é calculado a partir do momento em que pelo menos duas Máquinas Virtuais no mesmo Conjunto de Disponibilidade, ou no mesmo Grupo de Dedicated Hosts, foram iniciadas como resultado da ação iniciada pelo Cliente até ao momento em que o Cliente iniciou uma ação que resultaria na interrupção ou eliminação das Máquinas Virtuais.</w:t>
      </w:r>
    </w:p>
    <w:p w14:paraId="44D0F9E7"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sidRPr="00FA68E4">
        <w:rPr>
          <w:rFonts w:ascii="Calibri" w:hAnsi="Calibri" w:cs="Calibri"/>
          <w:b/>
          <w:color w:val="0072C6"/>
        </w:rPr>
        <w:t>:</w:t>
      </w:r>
      <w:r>
        <w:rPr>
          <w:rFonts w:ascii="Calibri" w:hAnsi="Calibri" w:cs="Calibri"/>
        </w:rPr>
        <w:t xml:space="preserve"> O total de minutos acumulados que fazem parte do Máximo de Minutos Disponíveis sem Conectividade da Máquina Virtual.</w:t>
      </w:r>
    </w:p>
    <w:p w14:paraId="1C59D2E7" w14:textId="4728E6D0" w:rsidR="00264BC1" w:rsidRDefault="00264BC1" w:rsidP="0091798B">
      <w:pPr>
        <w:pStyle w:val="ProductList-Body"/>
        <w:keepNext/>
        <w:ind w:left="360"/>
        <w:rPr>
          <w:rFonts w:ascii="Calibri" w:hAnsi="Calibri" w:cs="Calibri"/>
        </w:rPr>
      </w:pPr>
      <w:r>
        <w:rPr>
          <w:rFonts w:ascii="Calibri" w:hAnsi="Calibri" w:cs="Calibri"/>
          <w:b/>
          <w:color w:val="0072C6"/>
        </w:rPr>
        <w:t>Percentagem de Período de Disponibilidade</w:t>
      </w:r>
      <w:r w:rsidRPr="002C7B55">
        <w:rPr>
          <w:rFonts w:ascii="Calibri" w:hAnsi="Calibri" w:cs="Calibri"/>
          <w:b/>
          <w:color w:val="0072C6"/>
        </w:rPr>
        <w:t>:</w:t>
      </w:r>
      <w:r>
        <w:rPr>
          <w:rFonts w:ascii="Calibri" w:hAnsi="Calibri" w:cs="Calibri"/>
        </w:rPr>
        <w:t xml:space="preserve"> para Máquinas Virtuais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2E5261A0" w14:textId="77777777" w:rsidR="0091798B" w:rsidRPr="0091798B" w:rsidRDefault="0091798B" w:rsidP="0091798B">
      <w:pPr>
        <w:pStyle w:val="ProductList-Body"/>
        <w:keepNext/>
        <w:ind w:left="360"/>
        <w:rPr>
          <w:rFonts w:ascii="Calibri" w:hAnsi="Calibri" w:cs="Calibri"/>
        </w:rPr>
      </w:pPr>
    </w:p>
    <w:p w14:paraId="3CFCB10C" w14:textId="77777777" w:rsidR="00264BC1" w:rsidRPr="00EF7CF9" w:rsidRDefault="00264BC1" w:rsidP="00AD13B7">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520FDFD" w14:textId="77777777" w:rsidR="00264BC1" w:rsidRPr="00EC3D00" w:rsidRDefault="00264BC1" w:rsidP="00264BC1">
      <w:pPr>
        <w:pStyle w:val="ProductList-Body"/>
        <w:keepNext/>
        <w:ind w:left="360"/>
        <w:rPr>
          <w:rFonts w:ascii="Calibri" w:hAnsi="Calibri" w:cs="Calibri"/>
        </w:rPr>
      </w:pPr>
      <w:r>
        <w:rPr>
          <w:rFonts w:ascii="Calibri" w:hAnsi="Calibri" w:cs="Calibri"/>
          <w:b/>
          <w:color w:val="0072C6"/>
        </w:rPr>
        <w:t>Crédito de Serviço</w:t>
      </w:r>
      <w:r w:rsidRPr="00842E88">
        <w:rPr>
          <w:rFonts w:ascii="Calibri" w:hAnsi="Calibri" w:cs="Calibri"/>
          <w:b/>
          <w:color w:val="0072C6"/>
        </w:rPr>
        <w:t>:</w:t>
      </w:r>
    </w:p>
    <w:p w14:paraId="1DBCAA94"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num Conjunto de Disponibilidade ou no mesmo Grupo de Dedicated Hosts: Este SLA não é aplicável aos Conjuntos de Disponibilidade que tiram partido de discos 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46D8578" w14:textId="77777777" w:rsidTr="00E50F69">
        <w:trPr>
          <w:tblHeader/>
        </w:trPr>
        <w:tc>
          <w:tcPr>
            <w:tcW w:w="5040" w:type="dxa"/>
            <w:shd w:val="clear" w:color="auto" w:fill="0072C6"/>
          </w:tcPr>
          <w:p w14:paraId="69E8B72C" w14:textId="77777777" w:rsidR="00264BC1" w:rsidRPr="00EF7CF9" w:rsidRDefault="00264BC1" w:rsidP="00E50F69">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FC7F0CC" w14:textId="77777777" w:rsidR="00264BC1" w:rsidRPr="00EF7CF9" w:rsidRDefault="00264BC1" w:rsidP="00E50F69">
            <w:pPr>
              <w:pStyle w:val="ProductList-OfferingBody"/>
              <w:jc w:val="center"/>
              <w:rPr>
                <w:color w:val="FFFFFF" w:themeColor="background1"/>
              </w:rPr>
            </w:pPr>
            <w:r>
              <w:rPr>
                <w:color w:val="FFFFFF" w:themeColor="background1"/>
              </w:rPr>
              <w:t>Crédito de Serviço</w:t>
            </w:r>
          </w:p>
        </w:tc>
      </w:tr>
      <w:tr w:rsidR="00264BC1" w:rsidRPr="00B44CF9" w14:paraId="2E022285" w14:textId="77777777" w:rsidTr="00E50F69">
        <w:tc>
          <w:tcPr>
            <w:tcW w:w="5040" w:type="dxa"/>
          </w:tcPr>
          <w:p w14:paraId="08A631C0" w14:textId="77777777" w:rsidR="00264BC1" w:rsidRPr="00EC3D00" w:rsidRDefault="00264BC1" w:rsidP="00E50F69">
            <w:pPr>
              <w:pStyle w:val="ProductList-OfferingBody"/>
              <w:jc w:val="center"/>
              <w:rPr>
                <w:rFonts w:ascii="Calibri" w:hAnsi="Calibri" w:cs="Calibri"/>
              </w:rPr>
            </w:pPr>
            <w:r>
              <w:rPr>
                <w:rFonts w:ascii="Calibri" w:hAnsi="Calibri" w:cs="Calibri"/>
              </w:rPr>
              <w:t>&lt; 99,95%</w:t>
            </w:r>
          </w:p>
        </w:tc>
        <w:tc>
          <w:tcPr>
            <w:tcW w:w="5400" w:type="dxa"/>
          </w:tcPr>
          <w:p w14:paraId="6ACF4E77"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62A84A3" w14:textId="77777777" w:rsidTr="00E50F69">
        <w:tc>
          <w:tcPr>
            <w:tcW w:w="5040" w:type="dxa"/>
          </w:tcPr>
          <w:p w14:paraId="22F30263"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FAF6109"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3B5923B5" w14:textId="77777777" w:rsidTr="00E50F69">
        <w:tc>
          <w:tcPr>
            <w:tcW w:w="5040" w:type="dxa"/>
          </w:tcPr>
          <w:p w14:paraId="082F506A"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A2C94E7"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65BB9CA9"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de Instância Única e Máquinas Virtuais que utilizam os mesmos Discos Partilhados</w:t>
      </w:r>
    </w:p>
    <w:p w14:paraId="6975EB4A" w14:textId="77777777" w:rsidR="00264BC1" w:rsidRPr="00EC3D00" w:rsidRDefault="00264BC1" w:rsidP="00264BC1">
      <w:pPr>
        <w:pStyle w:val="ProductList-Body"/>
        <w:ind w:left="360"/>
        <w:rPr>
          <w:rFonts w:ascii="Calibri" w:hAnsi="Calibri" w:cs="Calibri"/>
        </w:rPr>
      </w:pPr>
      <w:r>
        <w:rPr>
          <w:rFonts w:ascii="Calibri" w:hAnsi="Calibri" w:cs="Calibri"/>
        </w:rPr>
        <w:t>“</w:t>
      </w:r>
      <w:r>
        <w:rPr>
          <w:rFonts w:ascii="Calibri" w:hAnsi="Calibri" w:cs="Calibri"/>
          <w:b/>
          <w:color w:val="0072C6"/>
        </w:rPr>
        <w:t>Minutos no Período Aplicável</w:t>
      </w:r>
      <w:r>
        <w:rPr>
          <w:rFonts w:ascii="Calibri" w:hAnsi="Calibri" w:cs="Calibri"/>
        </w:rPr>
        <w:t>” designa o número total de minutos num determinado Período Aplicável.</w:t>
      </w:r>
    </w:p>
    <w:p w14:paraId="6BD0654D"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Pr>
          <w:rFonts w:ascii="Calibri" w:hAnsi="Calibri" w:cs="Calibri"/>
        </w:rPr>
        <w:t>: é o total de minutos acumulados que fazem parte dos Minutos no Período Aplicável sem Conectividade da Máquina Virtual.</w:t>
      </w:r>
    </w:p>
    <w:p w14:paraId="34CB18A2" w14:textId="77777777" w:rsidR="00264BC1" w:rsidRDefault="00264BC1" w:rsidP="00264BC1">
      <w:pPr>
        <w:pStyle w:val="ProductList-Body"/>
        <w:ind w:left="360"/>
        <w:rPr>
          <w:rFonts w:ascii="Calibri" w:hAnsi="Calibri" w:cs="Calibri"/>
        </w:rPr>
      </w:pPr>
      <w:r>
        <w:rPr>
          <w:rFonts w:ascii="Calibri" w:hAnsi="Calibri" w:cs="Calibri"/>
          <w:b/>
          <w:color w:val="0072C6"/>
        </w:rPr>
        <w:t>Percentagem de Período de Disponibilidade</w:t>
      </w:r>
      <w:r w:rsidRPr="00620D63">
        <w:rPr>
          <w:rFonts w:ascii="Calibri" w:hAnsi="Calibri" w:cs="Calibri"/>
          <w:b/>
          <w:color w:val="0072C6"/>
        </w:rPr>
        <w:t>:</w:t>
      </w:r>
      <w:r>
        <w:rPr>
          <w:rFonts w:ascii="Calibri" w:hAnsi="Calibri" w:cs="Calibri"/>
        </w:rPr>
        <w:t xml:space="preserve"> é calculada ao subtrair de 100% a percentagem de Minutos no Período Aplicável durante a qual qualquer Máquina Virtual de Instância Única teve Período de Indisponibilidade ou em que todas as Máquinas Virtuais que utilizam o mesmo Disco Partilhado tiveram um Período de Indisponibilidade.</w:t>
      </w:r>
    </w:p>
    <w:p w14:paraId="7BFC3EBF" w14:textId="77777777" w:rsidR="0091798B" w:rsidRPr="00EA1451" w:rsidRDefault="0091798B" w:rsidP="00264BC1">
      <w:pPr>
        <w:pStyle w:val="ProductList-Body"/>
        <w:ind w:left="360"/>
        <w:rPr>
          <w:sz w:val="12"/>
          <w:szCs w:val="12"/>
        </w:rPr>
      </w:pPr>
    </w:p>
    <w:p w14:paraId="6E7CDAC9" w14:textId="77777777" w:rsidR="00264BC1" w:rsidRPr="00EF7CF9" w:rsidRDefault="00264BC1" w:rsidP="00AD13B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46E24C5A"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D81F78">
        <w:rPr>
          <w:rFonts w:ascii="Calibri" w:hAnsi="Calibri" w:cs="Calibri"/>
          <w:b/>
          <w:color w:val="0072C6"/>
        </w:rPr>
        <w:t>:</w:t>
      </w:r>
    </w:p>
    <w:p w14:paraId="7297F1EF" w14:textId="77777777" w:rsidR="00264BC1"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de Instância Única e Máquinas Virtuais que utilizam os mesmos Discos Partilhados por Tipo de disco. Para qualquer Máquina Virtual de Instância Única que utiliza vários tipos de disco e para todas as Máquinas Virtuais que utilizam os mesmos Discos Partilhados de vários tipos*, será aplicável o SLA mais baixo de todos os discos na Máquina Virtual:</w:t>
      </w:r>
    </w:p>
    <w:p w14:paraId="7B10D639" w14:textId="77777777" w:rsidR="00D95212" w:rsidRDefault="00D95212" w:rsidP="00264BC1">
      <w:pPr>
        <w:pStyle w:val="ProductList-Body"/>
        <w:ind w:left="360"/>
        <w:rPr>
          <w:rFonts w:ascii="Calibri" w:hAnsi="Calibri" w:cs="Calibri"/>
        </w:rPr>
      </w:pPr>
    </w:p>
    <w:p w14:paraId="591CDC40" w14:textId="77777777" w:rsidR="00D87086" w:rsidRPr="00EC3D00" w:rsidRDefault="00D87086" w:rsidP="00D87086">
      <w:pPr>
        <w:pStyle w:val="ProductList-Body"/>
        <w:ind w:left="360"/>
        <w:rPr>
          <w:rFonts w:ascii="Calibri" w:hAnsi="Calibri" w:cs="Calibri"/>
        </w:rPr>
      </w:pPr>
      <w:r>
        <w:rPr>
          <w:rFonts w:ascii="Calibri" w:hAnsi="Calibri" w:cs="Calibri"/>
        </w:rPr>
        <w:t>*Por exemplo, dadas duas Máquinas Virtuais VM1 e VM2 com um Disco Partilhado SSD Premium e um Disco Partilhado SSD Padrão, o SLA de período de disponibilidade para VM1 e VM2 será igual ao SLA para uma Máquina Virtual de Instância Única com o SSD Padrão, conforme mostrado abaixo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D87086" w:rsidRPr="00B44CF9" w14:paraId="0276D147" w14:textId="77777777" w:rsidTr="00E50F69">
        <w:trPr>
          <w:tblHeader/>
        </w:trPr>
        <w:tc>
          <w:tcPr>
            <w:tcW w:w="1164" w:type="pct"/>
            <w:shd w:val="clear" w:color="auto" w:fill="0072C6"/>
          </w:tcPr>
          <w:p w14:paraId="433A6C13" w14:textId="77777777" w:rsidR="00D87086" w:rsidRPr="00EC3D00" w:rsidRDefault="00D87086" w:rsidP="00E50F69">
            <w:pPr>
              <w:pStyle w:val="ProductList-OfferingBody"/>
              <w:rPr>
                <w:rFonts w:ascii="Calibri" w:hAnsi="Calibri" w:cs="Calibri"/>
                <w:color w:val="FFFFFF" w:themeColor="background1"/>
              </w:rPr>
            </w:pPr>
            <w:r>
              <w:rPr>
                <w:rFonts w:ascii="Calibri" w:hAnsi="Calibri" w:cs="Calibri"/>
                <w:color w:val="FFFFFF" w:themeColor="background1"/>
              </w:rPr>
              <w:t>Percentagem de Período de Disponibilidade (SSD Premium, SSD v2 Premium e Ultra Disk)**</w:t>
            </w:r>
          </w:p>
        </w:tc>
        <w:tc>
          <w:tcPr>
            <w:tcW w:w="1252" w:type="pct"/>
            <w:shd w:val="clear" w:color="auto" w:fill="0072C6"/>
          </w:tcPr>
          <w:p w14:paraId="3350F32A"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SSD Padrão)</w:t>
            </w:r>
          </w:p>
        </w:tc>
        <w:tc>
          <w:tcPr>
            <w:tcW w:w="1380" w:type="pct"/>
            <w:shd w:val="clear" w:color="auto" w:fill="0072C6"/>
          </w:tcPr>
          <w:p w14:paraId="438D5911"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HDD Padrão)</w:t>
            </w:r>
          </w:p>
        </w:tc>
        <w:tc>
          <w:tcPr>
            <w:tcW w:w="1204" w:type="pct"/>
            <w:shd w:val="clear" w:color="auto" w:fill="0072C6"/>
          </w:tcPr>
          <w:p w14:paraId="209EAD9B"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D87086" w:rsidRPr="00B44CF9" w14:paraId="5B4937E2" w14:textId="77777777" w:rsidTr="00E50F69">
        <w:tc>
          <w:tcPr>
            <w:tcW w:w="1164" w:type="pct"/>
          </w:tcPr>
          <w:p w14:paraId="23474C96" w14:textId="77777777" w:rsidR="00D87086" w:rsidRPr="00EC3D00" w:rsidRDefault="00D87086" w:rsidP="00E50F69">
            <w:pPr>
              <w:pStyle w:val="ProductList-OfferingBody"/>
              <w:jc w:val="center"/>
              <w:rPr>
                <w:rFonts w:ascii="Calibri" w:hAnsi="Calibri" w:cs="Calibri"/>
              </w:rPr>
            </w:pPr>
            <w:r>
              <w:rPr>
                <w:rFonts w:ascii="Calibri" w:hAnsi="Calibri" w:cs="Calibri"/>
              </w:rPr>
              <w:t>&lt; 99,9%</w:t>
            </w:r>
          </w:p>
        </w:tc>
        <w:tc>
          <w:tcPr>
            <w:tcW w:w="1252" w:type="pct"/>
          </w:tcPr>
          <w:p w14:paraId="0151EE64" w14:textId="77777777" w:rsidR="00D87086" w:rsidRPr="00EC3D00" w:rsidRDefault="00D87086" w:rsidP="00E50F69">
            <w:pPr>
              <w:pStyle w:val="ProductList-OfferingBody"/>
              <w:jc w:val="center"/>
              <w:rPr>
                <w:rFonts w:ascii="Calibri" w:hAnsi="Calibri" w:cs="Calibri"/>
              </w:rPr>
            </w:pPr>
            <w:r>
              <w:rPr>
                <w:rFonts w:ascii="Calibri" w:hAnsi="Calibri" w:cs="Calibri"/>
              </w:rPr>
              <w:t>&lt; 99,5%</w:t>
            </w:r>
          </w:p>
        </w:tc>
        <w:tc>
          <w:tcPr>
            <w:tcW w:w="1380" w:type="pct"/>
          </w:tcPr>
          <w:p w14:paraId="3F3318EB"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04" w:type="pct"/>
          </w:tcPr>
          <w:p w14:paraId="264FB7C1" w14:textId="77777777" w:rsidR="00D87086" w:rsidRPr="00EC3D00" w:rsidRDefault="00D87086" w:rsidP="00E50F69">
            <w:pPr>
              <w:pStyle w:val="ProductList-OfferingBody"/>
              <w:jc w:val="center"/>
              <w:rPr>
                <w:rFonts w:ascii="Calibri" w:hAnsi="Calibri" w:cs="Calibri"/>
              </w:rPr>
            </w:pPr>
            <w:r>
              <w:rPr>
                <w:rFonts w:ascii="Calibri" w:hAnsi="Calibri" w:cs="Calibri"/>
              </w:rPr>
              <w:t>10%</w:t>
            </w:r>
          </w:p>
        </w:tc>
      </w:tr>
      <w:tr w:rsidR="00D87086" w:rsidRPr="00B44CF9" w14:paraId="0D62A738" w14:textId="77777777" w:rsidTr="00E50F69">
        <w:tc>
          <w:tcPr>
            <w:tcW w:w="1164" w:type="pct"/>
          </w:tcPr>
          <w:p w14:paraId="22F1D1F7" w14:textId="77777777" w:rsidR="00D87086" w:rsidRPr="00EC3D00" w:rsidRDefault="00D87086" w:rsidP="00E50F69">
            <w:pPr>
              <w:pStyle w:val="ProductList-OfferingBody"/>
              <w:jc w:val="center"/>
              <w:rPr>
                <w:rFonts w:ascii="Calibri" w:hAnsi="Calibri" w:cs="Calibri"/>
              </w:rPr>
            </w:pPr>
            <w:r>
              <w:rPr>
                <w:rFonts w:ascii="Calibri" w:hAnsi="Calibri" w:cs="Calibri"/>
              </w:rPr>
              <w:t>&lt; 99%</w:t>
            </w:r>
          </w:p>
        </w:tc>
        <w:tc>
          <w:tcPr>
            <w:tcW w:w="1252" w:type="pct"/>
          </w:tcPr>
          <w:p w14:paraId="3210A3AF"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380" w:type="pct"/>
          </w:tcPr>
          <w:p w14:paraId="436437D5" w14:textId="77777777" w:rsidR="00D87086" w:rsidRPr="00EC3D00" w:rsidRDefault="00D87086" w:rsidP="00E50F69">
            <w:pPr>
              <w:pStyle w:val="ProductList-OfferingBody"/>
              <w:jc w:val="center"/>
              <w:rPr>
                <w:rFonts w:ascii="Calibri" w:hAnsi="Calibri" w:cs="Calibri"/>
              </w:rPr>
            </w:pPr>
            <w:r>
              <w:rPr>
                <w:rFonts w:ascii="Calibri" w:hAnsi="Calibri" w:cs="Calibri"/>
              </w:rPr>
              <w:t>&lt; 92%</w:t>
            </w:r>
          </w:p>
        </w:tc>
        <w:tc>
          <w:tcPr>
            <w:tcW w:w="1204" w:type="pct"/>
          </w:tcPr>
          <w:p w14:paraId="76BEB640" w14:textId="77777777" w:rsidR="00D87086" w:rsidRPr="00EC3D00" w:rsidRDefault="00D87086" w:rsidP="00E50F69">
            <w:pPr>
              <w:pStyle w:val="ProductList-OfferingBody"/>
              <w:jc w:val="center"/>
              <w:rPr>
                <w:rFonts w:ascii="Calibri" w:hAnsi="Calibri" w:cs="Calibri"/>
              </w:rPr>
            </w:pPr>
            <w:r>
              <w:rPr>
                <w:rFonts w:ascii="Calibri" w:hAnsi="Calibri" w:cs="Calibri"/>
              </w:rPr>
              <w:t>25%</w:t>
            </w:r>
          </w:p>
        </w:tc>
      </w:tr>
      <w:tr w:rsidR="00D87086" w:rsidRPr="00B44CF9" w14:paraId="5292508A" w14:textId="77777777" w:rsidTr="00E50F69">
        <w:tc>
          <w:tcPr>
            <w:tcW w:w="1164" w:type="pct"/>
          </w:tcPr>
          <w:p w14:paraId="1CB5CD76"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52" w:type="pct"/>
          </w:tcPr>
          <w:p w14:paraId="0597F19A"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380" w:type="pct"/>
          </w:tcPr>
          <w:p w14:paraId="311C4A3B"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204" w:type="pct"/>
          </w:tcPr>
          <w:p w14:paraId="2558967F" w14:textId="77777777" w:rsidR="00D87086" w:rsidRPr="00EC3D00" w:rsidRDefault="00D87086" w:rsidP="00E50F69">
            <w:pPr>
              <w:pStyle w:val="ProductList-OfferingBody"/>
              <w:jc w:val="center"/>
              <w:rPr>
                <w:rFonts w:ascii="Calibri" w:hAnsi="Calibri" w:cs="Calibri"/>
              </w:rPr>
            </w:pPr>
            <w:r>
              <w:rPr>
                <w:rFonts w:ascii="Calibri" w:hAnsi="Calibri" w:cs="Calibri"/>
              </w:rPr>
              <w:t>100%</w:t>
            </w:r>
          </w:p>
        </w:tc>
      </w:tr>
    </w:tbl>
    <w:p w14:paraId="5228A622" w14:textId="2D109305" w:rsidR="00D87086" w:rsidRDefault="00AD13B7" w:rsidP="003F5829">
      <w:pPr>
        <w:spacing w:before="120" w:after="0" w:line="240" w:lineRule="auto"/>
        <w:rPr>
          <w:rFonts w:ascii="Calibri" w:hAnsi="Calibri" w:cs="Calibri"/>
          <w:sz w:val="18"/>
        </w:rPr>
      </w:pPr>
      <w:r>
        <w:rPr>
          <w:rFonts w:ascii="Calibri" w:hAnsi="Calibri" w:cs="Calibri"/>
          <w:sz w:val="18"/>
        </w:rPr>
        <w:t xml:space="preserve">         </w:t>
      </w:r>
      <w:r w:rsidR="00D87086">
        <w:rPr>
          <w:rFonts w:ascii="Calibri" w:hAnsi="Calibri" w:cs="Calibri"/>
          <w:sz w:val="18"/>
        </w:rPr>
        <w:t>**SSD Premium para todos os Discos de Sistema Operativo, e SSD Premium, SSD v2 Premium ou Ultra Disk para todos os Discos de Dados.</w:t>
      </w:r>
    </w:p>
    <w:p w14:paraId="4401C59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FD75679" w14:textId="77777777" w:rsidR="00BC2A9C" w:rsidRDefault="00BC2A9C" w:rsidP="0091798B">
      <w:pPr>
        <w:pStyle w:val="ProductList-Offering2Heading"/>
        <w:tabs>
          <w:tab w:val="clear" w:pos="360"/>
        </w:tabs>
        <w:outlineLvl w:val="2"/>
      </w:pPr>
      <w:bookmarkStart w:id="407" w:name="_Toc182409731"/>
      <w:r>
        <w:t>Azure Virtual Network Manager</w:t>
      </w:r>
      <w:bookmarkEnd w:id="407"/>
    </w:p>
    <w:p w14:paraId="431D4064" w14:textId="77777777" w:rsidR="00BC2A9C" w:rsidRDefault="00BC2A9C" w:rsidP="00F01ED6">
      <w:pPr>
        <w:pStyle w:val="ProductList-Body"/>
        <w:rPr>
          <w:b/>
          <w:color w:val="00188F"/>
        </w:rPr>
      </w:pPr>
      <w:r>
        <w:rPr>
          <w:b/>
          <w:color w:val="00188F"/>
        </w:rPr>
        <w:t>Definições Adicionais</w:t>
      </w:r>
    </w:p>
    <w:p w14:paraId="543C0D66" w14:textId="299D7AE1" w:rsidR="00BC2A9C" w:rsidRDefault="00380305" w:rsidP="00F01ED6">
      <w:pPr>
        <w:pStyle w:val="ProductList-Body"/>
      </w:pPr>
      <w:r>
        <w:t>“</w:t>
      </w:r>
      <w:r w:rsidR="00BC2A9C">
        <w:rPr>
          <w:b/>
          <w:bCs/>
          <w:color w:val="00188F"/>
        </w:rPr>
        <w:t>Máximo de Minutos Disponíveis</w:t>
      </w:r>
      <w:r>
        <w:t>”</w:t>
      </w:r>
      <w:r w:rsidR="00BC2A9C">
        <w:t xml:space="preserve"> designa o total de minutos acumulados durante um Período Aplicável durante o qual um determinado Azure Virtual Network Manager tenha sido implementado numa subscrição do Microsoft Azure.</w:t>
      </w:r>
    </w:p>
    <w:p w14:paraId="1EDAF06D" w14:textId="183472C4" w:rsidR="00BC2A9C" w:rsidRDefault="00380305" w:rsidP="00F01ED6">
      <w:pPr>
        <w:pStyle w:val="ProductList-Body"/>
      </w:pPr>
      <w:r>
        <w:t>“</w:t>
      </w:r>
      <w:r w:rsidR="00BC2A9C">
        <w:rPr>
          <w:b/>
          <w:bCs/>
          <w:color w:val="00188F"/>
        </w:rPr>
        <w:t>Período de Indisponibilidade</w:t>
      </w:r>
      <w:r>
        <w:t>”</w:t>
      </w:r>
      <w:r w:rsidR="00BC2A9C">
        <w:t xml:space="preserve"> designa o total acumulado de Máximo de Minutos Disponíveis durante o qual um Azure Virtual Network Manager está indisponível. Considera-se que um minuto está indisponível se todas as tentativas de ligação ao Azure Virtual Network Manager durante esse minuto falharem.</w:t>
      </w:r>
    </w:p>
    <w:p w14:paraId="50464E6D" w14:textId="0640148D"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343B9AB8" w14:textId="77777777" w:rsidR="00BC2A9C" w:rsidRPr="00DC1476" w:rsidRDefault="00BC2A9C" w:rsidP="00F01ED6">
      <w:pPr>
        <w:pStyle w:val="ProductList-Body"/>
        <w:rPr>
          <w:szCs w:val="18"/>
        </w:rPr>
      </w:pPr>
    </w:p>
    <w:p w14:paraId="6DAB46A1" w14:textId="7FB36EAB" w:rsidR="00BC2A9C"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EC17AC2" w14:textId="77777777" w:rsidR="00BC2A9C" w:rsidRDefault="00BC2A9C" w:rsidP="00F01ED6">
      <w:pPr>
        <w:pStyle w:val="ProductList-Body"/>
        <w:keepNext/>
        <w:rPr>
          <w:b/>
          <w:bCs/>
          <w:color w:val="00188F"/>
        </w:rPr>
      </w:pPr>
      <w:r>
        <w:rPr>
          <w:b/>
          <w:bCs/>
          <w:color w:val="00188F"/>
        </w:rPr>
        <w:t>Os seguintes Níveis de Serviço e Créditos de Serviço são aplicáveis à utilização de cada Azure Virtual Network Manager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F01ED6">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F01ED6">
            <w:pPr>
              <w:pStyle w:val="ProductList-OfferingBody"/>
              <w:jc w:val="center"/>
            </w:pPr>
            <w:r>
              <w:t>25%</w:t>
            </w:r>
          </w:p>
        </w:tc>
      </w:tr>
    </w:tbl>
    <w:p w14:paraId="17F273A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E840184" w14:textId="5494FB94" w:rsidR="004005AF" w:rsidRPr="00EF7CF9" w:rsidRDefault="004005AF" w:rsidP="00F01ED6">
      <w:pPr>
        <w:pStyle w:val="ProductList-Offering2Heading"/>
        <w:tabs>
          <w:tab w:val="clear" w:pos="360"/>
          <w:tab w:val="clear" w:pos="720"/>
          <w:tab w:val="clear" w:pos="1080"/>
        </w:tabs>
        <w:outlineLvl w:val="2"/>
      </w:pPr>
      <w:bookmarkStart w:id="408" w:name="_Toc182409732"/>
      <w:r>
        <w:t>WAN Virtual do Azure</w:t>
      </w:r>
      <w:bookmarkEnd w:id="331"/>
      <w:bookmarkEnd w:id="332"/>
      <w:bookmarkEnd w:id="408"/>
    </w:p>
    <w:p w14:paraId="493AD4D5" w14:textId="77777777" w:rsidR="004005AF" w:rsidRPr="00EF7CF9" w:rsidRDefault="004005AF" w:rsidP="00F01ED6">
      <w:pPr>
        <w:pStyle w:val="ProductList-Body"/>
      </w:pPr>
      <w:r>
        <w:rPr>
          <w:b/>
          <w:color w:val="00188F"/>
        </w:rPr>
        <w:t>Definições Adicionais</w:t>
      </w:r>
      <w:r w:rsidRPr="00473DD3">
        <w:rPr>
          <w:b/>
          <w:color w:val="00188F"/>
        </w:rPr>
        <w:t>:</w:t>
      </w:r>
    </w:p>
    <w:p w14:paraId="7103CBD6" w14:textId="4AA62503" w:rsidR="004005AF" w:rsidRDefault="00380305" w:rsidP="00F01ED6">
      <w:pPr>
        <w:pStyle w:val="ProductList-Body"/>
      </w:pPr>
      <w:r>
        <w:t>“</w:t>
      </w:r>
      <w:r w:rsidR="004005AF">
        <w:rPr>
          <w:b/>
          <w:color w:val="00188F"/>
        </w:rPr>
        <w:t>Máximo de Minutos Disponíveis</w:t>
      </w:r>
      <w:r>
        <w:t>”</w:t>
      </w:r>
      <w:r w:rsidR="004005AF">
        <w:t xml:space="preserve"> designa o total acumulado de minutos num Período Aplicável durante o qual uma determinada WAN Virtual do Azure esteve implementada numa subscrição do Microsoft Azure.</w:t>
      </w:r>
    </w:p>
    <w:p w14:paraId="39AFD67D" w14:textId="5079C1B6" w:rsidR="004005AF" w:rsidRPr="006A28BC" w:rsidRDefault="00380305" w:rsidP="00F01ED6">
      <w:pPr>
        <w:pStyle w:val="ProductList-Body"/>
        <w:rPr>
          <w:spacing w:val="-4"/>
        </w:rPr>
      </w:pPr>
      <w:r>
        <w:rPr>
          <w:spacing w:val="-4"/>
        </w:rPr>
        <w:t>“</w:t>
      </w:r>
      <w:r w:rsidR="004005AF" w:rsidRPr="006A28BC">
        <w:rPr>
          <w:b/>
          <w:color w:val="00188F"/>
          <w:spacing w:val="-4"/>
        </w:rPr>
        <w:t>Período de Indisponibilidade</w:t>
      </w:r>
      <w:r>
        <w:rPr>
          <w:spacing w:val="-4"/>
        </w:rPr>
        <w:t>”</w:t>
      </w:r>
      <w:r w:rsidR="004005AF" w:rsidRPr="006A28BC">
        <w:rPr>
          <w:spacing w:val="-4"/>
        </w:rPr>
        <w:t xml:space="preserve"> designa o total acumulado de Máximo de Minutos Disponíveis durante o qual uma WAN Virtual do Azure está indisponível. Um determinado minuto é considerado indisponível se todas as tentativas de ligação ao WAN Virtual do Azure, durante esse minuto falharem.</w:t>
      </w:r>
    </w:p>
    <w:p w14:paraId="29C45C18" w14:textId="7A7B4D3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D0DC0A9" w14:textId="77777777" w:rsidR="004005AF" w:rsidRPr="00DC1476" w:rsidRDefault="004005AF" w:rsidP="00F01ED6">
      <w:pPr>
        <w:pStyle w:val="ProductList-Body"/>
        <w:rPr>
          <w:szCs w:val="18"/>
        </w:rPr>
      </w:pPr>
    </w:p>
    <w:p w14:paraId="43A4F939" w14:textId="08CECF87" w:rsidR="004005AF"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F9D3DA"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29481B"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F01ED6">
            <w:pPr>
              <w:pStyle w:val="ProductList-OfferingBody"/>
              <w:jc w:val="center"/>
            </w:pPr>
            <w:r>
              <w:t>&lt; 99,95%</w:t>
            </w:r>
          </w:p>
        </w:tc>
        <w:tc>
          <w:tcPr>
            <w:tcW w:w="5400" w:type="dxa"/>
          </w:tcPr>
          <w:p w14:paraId="0D394EBA" w14:textId="77777777" w:rsidR="004005AF" w:rsidRPr="005A3C16" w:rsidRDefault="004005AF" w:rsidP="00F01ED6">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F01ED6">
            <w:pPr>
              <w:pStyle w:val="ProductList-OfferingBody"/>
              <w:jc w:val="center"/>
            </w:pPr>
            <w:r>
              <w:t>&lt; 99%</w:t>
            </w:r>
          </w:p>
        </w:tc>
        <w:tc>
          <w:tcPr>
            <w:tcW w:w="5400" w:type="dxa"/>
          </w:tcPr>
          <w:p w14:paraId="1ED27CD7" w14:textId="77777777" w:rsidR="004005AF" w:rsidRPr="005A3C16" w:rsidRDefault="004005AF" w:rsidP="00F01ED6">
            <w:pPr>
              <w:pStyle w:val="ProductList-OfferingBody"/>
              <w:jc w:val="center"/>
            </w:pPr>
            <w:r>
              <w:t>25%</w:t>
            </w:r>
          </w:p>
        </w:tc>
      </w:tr>
    </w:tbl>
    <w:bookmarkStart w:id="409" w:name="_Toc11149692"/>
    <w:bookmarkStart w:id="410" w:name="_Toc52348995"/>
    <w:bookmarkStart w:id="411" w:name="VisualStudioAppCenter_BuildService"/>
    <w:bookmarkStart w:id="412" w:name="_Hlk496874584"/>
    <w:bookmarkStart w:id="413" w:name="_Toc457821588"/>
    <w:bookmarkStart w:id="414" w:name="_Hlk496876971"/>
    <w:bookmarkStart w:id="415" w:name="VisualStudioTeamServices_BuildService"/>
    <w:bookmarkEnd w:id="333"/>
    <w:p w14:paraId="7A5B0AF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6827D04" w14:textId="77777777" w:rsidR="003B335C" w:rsidRPr="003B335C" w:rsidRDefault="003B335C" w:rsidP="00840862">
      <w:pPr>
        <w:pStyle w:val="ProductList-Offering2Heading"/>
        <w:keepNext/>
        <w:outlineLvl w:val="2"/>
      </w:pPr>
      <w:bookmarkStart w:id="416" w:name="_Toc182409733"/>
      <w:r>
        <w:t>Azure VMware Solution</w:t>
      </w:r>
      <w:bookmarkEnd w:id="416"/>
    </w:p>
    <w:p w14:paraId="1702D1F4" w14:textId="77777777" w:rsidR="003B335C" w:rsidRPr="003B335C" w:rsidRDefault="003B335C" w:rsidP="00F01ED6">
      <w:pPr>
        <w:pStyle w:val="ProductList-Body"/>
        <w:rPr>
          <w:b/>
          <w:bCs/>
          <w:color w:val="00188F"/>
        </w:rPr>
      </w:pPr>
      <w:r>
        <w:rPr>
          <w:b/>
          <w:bCs/>
          <w:color w:val="00188F"/>
        </w:rPr>
        <w:t>Requisitos Adicionais</w:t>
      </w:r>
    </w:p>
    <w:p w14:paraId="623D4CC3" w14:textId="77777777" w:rsidR="003B335C" w:rsidRDefault="003B335C" w:rsidP="00F01ED6">
      <w:pPr>
        <w:pStyle w:val="ProductList-Body"/>
      </w:pPr>
      <w:r>
        <w:t>O cliente é obrigado a manter uma configuração mínima de todo o armazenamento da máquina virtual, incluindo:</w:t>
      </w:r>
    </w:p>
    <w:p w14:paraId="5403E515" w14:textId="761A8168" w:rsidR="003B335C" w:rsidRDefault="003B335C" w:rsidP="00F01ED6">
      <w:pPr>
        <w:pStyle w:val="ProductList-Body"/>
        <w:numPr>
          <w:ilvl w:val="0"/>
          <w:numId w:val="24"/>
        </w:numPr>
        <w:tabs>
          <w:tab w:val="clear" w:pos="360"/>
          <w:tab w:val="clear" w:pos="720"/>
          <w:tab w:val="clear" w:pos="1080"/>
        </w:tabs>
      </w:pPr>
      <w:r>
        <w:t>Se o setor tiver entre 3 e 5 anfitriões, os números de falhas a tolerar = 1; e quando o grupo tiver entre 6 e 16 anfitriões, o número de</w:t>
      </w:r>
      <w:r w:rsidR="00476320">
        <w:t> </w:t>
      </w:r>
      <w:r>
        <w:t>falhas a tolerar = 2</w:t>
      </w:r>
    </w:p>
    <w:p w14:paraId="34783C02" w14:textId="77777777" w:rsidR="003B335C" w:rsidRDefault="003B335C" w:rsidP="00F01ED6">
      <w:pPr>
        <w:pStyle w:val="ProductList-Body"/>
        <w:numPr>
          <w:ilvl w:val="0"/>
          <w:numId w:val="24"/>
        </w:numPr>
        <w:tabs>
          <w:tab w:val="clear" w:pos="360"/>
          <w:tab w:val="clear" w:pos="720"/>
          <w:tab w:val="clear" w:pos="1080"/>
        </w:tabs>
      </w:pPr>
      <w:r>
        <w:t>A capacidade de armazenamento para o setor retém um espaço desperdiçado disponível de 25% (conforme descrito no guia de armazenamento VSAN)</w:t>
      </w:r>
    </w:p>
    <w:p w14:paraId="03A2E95A" w14:textId="5F7DC478" w:rsidR="003B335C" w:rsidRDefault="003B335C" w:rsidP="00F01ED6">
      <w:pPr>
        <w:pStyle w:val="ProductList-Body"/>
        <w:numPr>
          <w:ilvl w:val="0"/>
          <w:numId w:val="24"/>
        </w:numPr>
        <w:tabs>
          <w:tab w:val="clear" w:pos="360"/>
          <w:tab w:val="clear" w:pos="720"/>
          <w:tab w:val="clear" w:pos="1080"/>
        </w:tabs>
        <w:jc w:val="both"/>
      </w:pPr>
      <w:r>
        <w:t>O cliente não realizou quaisquer ações no modo Privilégio Elevado que impeçam a Microsoft de cumprir o Compromisso de Disponibilidade</w:t>
      </w:r>
    </w:p>
    <w:p w14:paraId="1BDEE642" w14:textId="77777777" w:rsidR="003B335C" w:rsidRDefault="003B335C" w:rsidP="00F01ED6">
      <w:pPr>
        <w:pStyle w:val="ProductList-Body"/>
        <w:numPr>
          <w:ilvl w:val="0"/>
          <w:numId w:val="24"/>
        </w:numPr>
        <w:tabs>
          <w:tab w:val="clear" w:pos="360"/>
          <w:tab w:val="clear" w:pos="720"/>
          <w:tab w:val="clear" w:pos="1080"/>
        </w:tabs>
      </w:pPr>
      <w:r>
        <w:t>Existe capacidade suficiente no setor para suportar o início de uma máquina virtual</w:t>
      </w:r>
    </w:p>
    <w:p w14:paraId="51342D2B" w14:textId="77777777" w:rsidR="003B335C" w:rsidRDefault="003B335C" w:rsidP="00F01ED6">
      <w:pPr>
        <w:pStyle w:val="ProductList-Body"/>
        <w:numPr>
          <w:ilvl w:val="0"/>
          <w:numId w:val="24"/>
        </w:numPr>
        <w:tabs>
          <w:tab w:val="clear" w:pos="360"/>
          <w:tab w:val="clear" w:pos="720"/>
          <w:tab w:val="clear" w:pos="1080"/>
        </w:tabs>
      </w:pPr>
      <w:r>
        <w:t>A manutenção programada é excluída do total dos cálculos do período de disponibilidade disponíveis</w:t>
      </w:r>
    </w:p>
    <w:p w14:paraId="64F46BAA" w14:textId="77777777" w:rsidR="003B335C" w:rsidRDefault="003B335C" w:rsidP="00F01ED6">
      <w:pPr>
        <w:pStyle w:val="ProductList-Body"/>
      </w:pPr>
    </w:p>
    <w:p w14:paraId="59B5B77E" w14:textId="5DE9948A" w:rsidR="003B335C" w:rsidRPr="003B335C" w:rsidRDefault="003B335C" w:rsidP="00F01ED6">
      <w:pPr>
        <w:pStyle w:val="ProductList-Body"/>
        <w:rPr>
          <w:b/>
          <w:bCs/>
          <w:color w:val="00188F"/>
        </w:rPr>
      </w:pPr>
      <w:r>
        <w:rPr>
          <w:b/>
          <w:bCs/>
          <w:color w:val="00188F"/>
        </w:rPr>
        <w:t>Definições Adicionais</w:t>
      </w:r>
    </w:p>
    <w:p w14:paraId="2B4D33B1" w14:textId="66CF095A" w:rsidR="003B335C" w:rsidRPr="003B335C" w:rsidRDefault="00EE6E3C" w:rsidP="00F01ED6">
      <w:pPr>
        <w:pStyle w:val="ProductList-Body"/>
        <w:rPr>
          <w:b/>
          <w:bCs/>
          <w:color w:val="00188F"/>
        </w:rPr>
      </w:pPr>
      <w:r>
        <w:rPr>
          <w:b/>
          <w:bCs/>
          <w:color w:val="00188F"/>
        </w:rPr>
        <w:t>Cálculo do Período de Disponibilidade e Níveis de Serviço para a Infraestrutura de Carga de Trabalho do Azure VMware Solution</w:t>
      </w:r>
    </w:p>
    <w:p w14:paraId="4BC4DBC0" w14:textId="541CA48D" w:rsidR="003B335C" w:rsidRDefault="00380305" w:rsidP="00F01ED6">
      <w:pPr>
        <w:pStyle w:val="ProductList-Body"/>
      </w:pPr>
      <w:r>
        <w:t>“</w:t>
      </w:r>
      <w:r w:rsidR="003B335C">
        <w:rPr>
          <w:b/>
          <w:bCs/>
          <w:color w:val="00188F"/>
        </w:rPr>
        <w:t>Máximo de Minutos Disponíveis</w:t>
      </w:r>
      <w:r>
        <w:t>”</w:t>
      </w:r>
      <w:r w:rsidR="003B335C">
        <w:t xml:space="preserve"> designa o total de minutos acumulados durante um Período Aplicável para todas as máquinas virtuais de um cluster de VMware, em que foi implementada a Solução VMware do Azure numa subscrição do Microsoft Azure.</w:t>
      </w:r>
    </w:p>
    <w:p w14:paraId="6020BCC2" w14:textId="1564BB94" w:rsidR="003B335C" w:rsidRDefault="00380305" w:rsidP="00F01ED6">
      <w:pPr>
        <w:pStyle w:val="ProductList-Body"/>
      </w:pPr>
      <w:r>
        <w:t>“</w:t>
      </w:r>
      <w:r w:rsidR="003B335C">
        <w:rPr>
          <w:b/>
          <w:bCs/>
          <w:color w:val="00188F"/>
        </w:rPr>
        <w:t>Período de Indisponibilidade</w:t>
      </w:r>
      <w:r>
        <w:t>”</w:t>
      </w:r>
      <w:r w:rsidR="003B335C">
        <w:t xml:space="preserve"> designa o total acumulado de Máximo de Minutos Disponíveis durante um Período Aplicável de um determinado Cluster de VMware no Azure, durante o qual o Serviço está indisponível. Considera-se que um determinado minuto está indisponível se se verificar qualquer uma das seguintes situações:</w:t>
      </w:r>
    </w:p>
    <w:p w14:paraId="1C149F01" w14:textId="77777777" w:rsidR="003B335C" w:rsidRDefault="003B335C" w:rsidP="00F01ED6">
      <w:pPr>
        <w:pStyle w:val="ProductList-Body"/>
        <w:numPr>
          <w:ilvl w:val="0"/>
          <w:numId w:val="25"/>
        </w:numPr>
      </w:pPr>
      <w:r>
        <w:t>Todas as máquinas virtuais de um setor em execução não tiverem qualquer conectividade durante quatro minutos consecutivos.</w:t>
      </w:r>
    </w:p>
    <w:p w14:paraId="5E24A78D" w14:textId="77777777" w:rsidR="003B335C" w:rsidRDefault="003B335C" w:rsidP="00F01ED6">
      <w:pPr>
        <w:pStyle w:val="ProductList-Body"/>
        <w:numPr>
          <w:ilvl w:val="0"/>
          <w:numId w:val="25"/>
        </w:numPr>
      </w:pPr>
      <w:r>
        <w:t>Nenhuma das máquinas virtuais conseguir aceder ao armazenamento durante quatro minutos consecutivos.</w:t>
      </w:r>
    </w:p>
    <w:p w14:paraId="3F3CC349" w14:textId="77777777" w:rsidR="003B335C" w:rsidRDefault="003B335C" w:rsidP="00F01ED6">
      <w:pPr>
        <w:pStyle w:val="ProductList-Body"/>
        <w:numPr>
          <w:ilvl w:val="0"/>
          <w:numId w:val="25"/>
        </w:numPr>
      </w:pPr>
      <w:r>
        <w:t>Nenhuma das máquinas virtuais puder ser iniciada durante quatro minutos consecutivos.</w:t>
      </w:r>
    </w:p>
    <w:p w14:paraId="191C930D" w14:textId="7E4BB326"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5AA4AC7B" w14:textId="77777777" w:rsidR="0087490E" w:rsidRPr="00DC1476" w:rsidRDefault="0087490E" w:rsidP="00F01ED6">
      <w:pPr>
        <w:pStyle w:val="ProductList-Body"/>
        <w:rPr>
          <w:szCs w:val="18"/>
        </w:rPr>
      </w:pPr>
    </w:p>
    <w:p w14:paraId="7A79CF89" w14:textId="05EB7F95" w:rsidR="0087490E"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AB06BD2" w14:textId="6016C6CD" w:rsidR="003B335C" w:rsidRPr="0087490E" w:rsidRDefault="0087490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09BFB9"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1BA5368E" w14:textId="77777777" w:rsidTr="00277097">
        <w:tc>
          <w:tcPr>
            <w:tcW w:w="5400" w:type="dxa"/>
          </w:tcPr>
          <w:p w14:paraId="52FFF3C1" w14:textId="77A5D15B" w:rsidR="0087490E" w:rsidRPr="005A3C16" w:rsidRDefault="0087490E" w:rsidP="00F01ED6">
            <w:pPr>
              <w:pStyle w:val="ProductList-OfferingBody"/>
              <w:jc w:val="center"/>
            </w:pPr>
            <w:r>
              <w:t>&lt; 99,9%</w:t>
            </w:r>
          </w:p>
        </w:tc>
        <w:tc>
          <w:tcPr>
            <w:tcW w:w="5400" w:type="dxa"/>
          </w:tcPr>
          <w:p w14:paraId="40371173" w14:textId="77777777" w:rsidR="0087490E" w:rsidRPr="005A3C16" w:rsidRDefault="0087490E" w:rsidP="00F01ED6">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F01ED6">
            <w:pPr>
              <w:pStyle w:val="ProductList-OfferingBody"/>
              <w:jc w:val="center"/>
            </w:pPr>
            <w:r>
              <w:t>&lt; 99%</w:t>
            </w:r>
          </w:p>
        </w:tc>
        <w:tc>
          <w:tcPr>
            <w:tcW w:w="5400" w:type="dxa"/>
          </w:tcPr>
          <w:p w14:paraId="7C5DE887" w14:textId="77777777" w:rsidR="0087490E" w:rsidRPr="005A3C16" w:rsidRDefault="0087490E" w:rsidP="00F01ED6">
            <w:pPr>
              <w:pStyle w:val="ProductList-OfferingBody"/>
              <w:jc w:val="center"/>
            </w:pPr>
            <w:r>
              <w:t>25%</w:t>
            </w:r>
          </w:p>
        </w:tc>
      </w:tr>
    </w:tbl>
    <w:p w14:paraId="35A47861" w14:textId="12F15A4F" w:rsidR="003B335C" w:rsidRPr="0087490E" w:rsidRDefault="00EE6E3C" w:rsidP="00F01ED6">
      <w:pPr>
        <w:pStyle w:val="ProductList-Body"/>
        <w:spacing w:before="240"/>
        <w:rPr>
          <w:b/>
          <w:bCs/>
          <w:color w:val="00188F"/>
        </w:rPr>
      </w:pPr>
      <w:r>
        <w:rPr>
          <w:b/>
          <w:bCs/>
          <w:color w:val="00188F"/>
        </w:rPr>
        <w:t>Cálculo do Período de Disponibilidade e Níveis de Serviço para as ferramentas de Gestão de VMware do Azure</w:t>
      </w:r>
    </w:p>
    <w:p w14:paraId="01AAF1B7" w14:textId="5C1FD5C6" w:rsidR="003B335C" w:rsidRDefault="00380305" w:rsidP="00F01ED6">
      <w:pPr>
        <w:pStyle w:val="ProductList-Body"/>
      </w:pPr>
      <w:r>
        <w:t>“</w:t>
      </w:r>
      <w:r w:rsidR="003B335C">
        <w:rPr>
          <w:b/>
          <w:bCs/>
          <w:color w:val="00188F"/>
        </w:rPr>
        <w:t>Máximo de Minutos Disponíveis</w:t>
      </w:r>
      <w:r>
        <w:t>”</w:t>
      </w:r>
      <w:r w:rsidR="003B335C">
        <w:t xml:space="preserve"> designa o total acumulado de minutos durante um Período Aplicável para um determinado cluster de VMware, durante o qual as ferramentas de gestão do VMware do Azure foram implementadas numa subscrição do Microsoft Azure.</w:t>
      </w:r>
    </w:p>
    <w:p w14:paraId="3FFBBF3F" w14:textId="5E1A877E" w:rsidR="003B335C" w:rsidRDefault="00380305" w:rsidP="00F01ED6">
      <w:pPr>
        <w:pStyle w:val="ProductList-Body"/>
      </w:pPr>
      <w:r>
        <w:t>“</w:t>
      </w:r>
      <w:r w:rsidR="003B335C">
        <w:rPr>
          <w:b/>
          <w:bCs/>
          <w:color w:val="00188F"/>
        </w:rPr>
        <w:t>Período de Indisponibilidade</w:t>
      </w:r>
      <w:r>
        <w:t>”</w:t>
      </w:r>
      <w:r w:rsidR="003B335C">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 se verificar qualquer uma das seguintes situações:</w:t>
      </w:r>
    </w:p>
    <w:p w14:paraId="5B59A532" w14:textId="77777777" w:rsidR="003B335C" w:rsidRDefault="003B335C" w:rsidP="00F01ED6">
      <w:pPr>
        <w:pStyle w:val="ProductList-Body"/>
        <w:numPr>
          <w:ilvl w:val="0"/>
          <w:numId w:val="26"/>
        </w:numPr>
      </w:pPr>
      <w:r>
        <w:t>O vCenter server não tiver qualquer conectividade durante quatro minutos consecutivos.</w:t>
      </w:r>
    </w:p>
    <w:p w14:paraId="192367A7" w14:textId="77777777" w:rsidR="003B335C" w:rsidRDefault="003B335C" w:rsidP="00F01ED6">
      <w:pPr>
        <w:pStyle w:val="ProductList-Body"/>
        <w:numPr>
          <w:ilvl w:val="0"/>
          <w:numId w:val="26"/>
        </w:numPr>
      </w:pPr>
      <w:r>
        <w:t>O NSX Manager não tiver qualquer conectividade durante quatro minutos consecutivos.</w:t>
      </w:r>
    </w:p>
    <w:p w14:paraId="7E4C2823" w14:textId="146504BA"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3C1C2A8B" w14:textId="77777777" w:rsidR="0087490E" w:rsidRPr="00DC1476" w:rsidRDefault="0087490E" w:rsidP="00F01ED6">
      <w:pPr>
        <w:pStyle w:val="ProductList-Body"/>
        <w:rPr>
          <w:szCs w:val="18"/>
        </w:rPr>
      </w:pPr>
    </w:p>
    <w:p w14:paraId="1F98E7A5" w14:textId="378F3134" w:rsidR="0087490E" w:rsidRPr="0048402F" w:rsidRDefault="00000000" w:rsidP="00840862">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6CCB8FB"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F01ED6">
            <w:pPr>
              <w:pStyle w:val="ProductList-OfferingBody"/>
              <w:jc w:val="center"/>
            </w:pPr>
            <w:r>
              <w:t>&lt; 99,9%</w:t>
            </w:r>
          </w:p>
        </w:tc>
        <w:tc>
          <w:tcPr>
            <w:tcW w:w="5400" w:type="dxa"/>
          </w:tcPr>
          <w:p w14:paraId="12EDA4F2" w14:textId="77777777" w:rsidR="0087490E" w:rsidRPr="005A3C16" w:rsidRDefault="0087490E" w:rsidP="00F01ED6">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F01ED6">
            <w:pPr>
              <w:pStyle w:val="ProductList-OfferingBody"/>
              <w:jc w:val="center"/>
            </w:pPr>
            <w:r>
              <w:t>&lt; 99%</w:t>
            </w:r>
          </w:p>
        </w:tc>
        <w:tc>
          <w:tcPr>
            <w:tcW w:w="5400" w:type="dxa"/>
          </w:tcPr>
          <w:p w14:paraId="54AFB53A" w14:textId="77777777" w:rsidR="0087490E" w:rsidRPr="005A3C16" w:rsidRDefault="0087490E" w:rsidP="00F01ED6">
            <w:pPr>
              <w:pStyle w:val="ProductList-OfferingBody"/>
              <w:jc w:val="center"/>
            </w:pPr>
            <w:r>
              <w:t>25%</w:t>
            </w:r>
          </w:p>
        </w:tc>
      </w:tr>
    </w:tbl>
    <w:p w14:paraId="3312AE0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030F3AE" w14:textId="77777777" w:rsidR="00111EE9" w:rsidRPr="00DC1476" w:rsidRDefault="00111EE9" w:rsidP="00F01ED6">
      <w:pPr>
        <w:pStyle w:val="ProductList-Offering2Heading"/>
        <w:keepNext/>
        <w:outlineLvl w:val="2"/>
        <w:rPr>
          <w:lang w:val="en-IN"/>
        </w:rPr>
      </w:pPr>
      <w:bookmarkStart w:id="417" w:name="_Toc182409734"/>
      <w:r w:rsidRPr="00DC1476">
        <w:rPr>
          <w:lang w:val="en-IN"/>
        </w:rPr>
        <w:t>Azure VMware Solution by CloudSimple</w:t>
      </w:r>
      <w:bookmarkEnd w:id="417"/>
    </w:p>
    <w:p w14:paraId="11011C87" w14:textId="77777777" w:rsidR="00111EE9" w:rsidRPr="00111EE9" w:rsidRDefault="00111EE9" w:rsidP="00F01ED6">
      <w:pPr>
        <w:pStyle w:val="ProductList-Body"/>
        <w:rPr>
          <w:b/>
          <w:bCs/>
          <w:color w:val="00188F"/>
        </w:rPr>
      </w:pPr>
      <w:r>
        <w:rPr>
          <w:b/>
          <w:bCs/>
          <w:color w:val="00188F"/>
        </w:rPr>
        <w:t>Requisitos Adicionais</w:t>
      </w:r>
    </w:p>
    <w:p w14:paraId="72B01100" w14:textId="77777777" w:rsidR="00111EE9" w:rsidRDefault="00111EE9" w:rsidP="00F01ED6">
      <w:pPr>
        <w:pStyle w:val="ProductList-Body"/>
      </w:pPr>
      <w:r>
        <w:t>O cliente é obrigado a manter uma configuração mínima de todo o armazenamento da máquina virtual da seguinte forma:</w:t>
      </w:r>
    </w:p>
    <w:p w14:paraId="12FA0843" w14:textId="7F744018" w:rsidR="00111EE9" w:rsidRDefault="00111EE9" w:rsidP="00F01ED6">
      <w:pPr>
        <w:pStyle w:val="ProductList-Body"/>
        <w:numPr>
          <w:ilvl w:val="0"/>
          <w:numId w:val="27"/>
        </w:numPr>
      </w:pPr>
      <w:r>
        <w:t>Se o setor tiver entre 3 e 5 anfitriões, os números de falhas a tolerar = 1; e quando o grupo tiver entre 6 e 32 anfitriões, o número de</w:t>
      </w:r>
      <w:r w:rsidR="00040DA8">
        <w:t> </w:t>
      </w:r>
      <w:r>
        <w:t>falhas a tolerar = 2</w:t>
      </w:r>
    </w:p>
    <w:p w14:paraId="1D1BBE52" w14:textId="03A08F0E" w:rsidR="00111EE9" w:rsidRDefault="00111EE9" w:rsidP="00F01ED6">
      <w:pPr>
        <w:pStyle w:val="ProductList-Body"/>
        <w:numPr>
          <w:ilvl w:val="0"/>
          <w:numId w:val="27"/>
        </w:numPr>
      </w:pPr>
      <w:r>
        <w:t xml:space="preserve">A capacidade de armazenamento para o setor retém um espaço desperdiçado disponível de 25% (conforme descrito no guia de armazenamento VSAN) </w:t>
      </w:r>
      <w:hyperlink r:id="rId28" w:history="1">
        <w:r>
          <w:rPr>
            <w:rStyle w:val="Hyperlink"/>
          </w:rPr>
          <w:t>https://docs.vmware.com/en/VMware-vSphere/6.7/vsan-671-administration-guide.pdf</w:t>
        </w:r>
      </w:hyperlink>
    </w:p>
    <w:p w14:paraId="4C610A4F" w14:textId="0B67B1D5" w:rsidR="00111EE9" w:rsidRDefault="00111EE9" w:rsidP="00F01ED6">
      <w:pPr>
        <w:pStyle w:val="ProductList-Body"/>
        <w:numPr>
          <w:ilvl w:val="0"/>
          <w:numId w:val="27"/>
        </w:numPr>
      </w:pPr>
      <w:r>
        <w:t>Existe capacidade suficiente no setor para suportar o início de uma máquina virtual e o cliente não realizou quaisquer ações no modo de</w:t>
      </w:r>
      <w:r w:rsidR="00040DA8">
        <w:t> </w:t>
      </w:r>
      <w:r>
        <w:t>privilégio escalado que impeçam o fornecedor de cumprir o Compromisso de Disponibilidade.</w:t>
      </w:r>
    </w:p>
    <w:p w14:paraId="41D54D38" w14:textId="419CC854" w:rsidR="00111EE9" w:rsidRDefault="00111EE9" w:rsidP="00F01ED6">
      <w:pPr>
        <w:pStyle w:val="ProductList-Body"/>
        <w:numPr>
          <w:ilvl w:val="0"/>
          <w:numId w:val="27"/>
        </w:numPr>
      </w:pPr>
      <w:r>
        <w:t>A manutenção programada é excluída do total dos cálculos do período de disponibilidade disponível</w:t>
      </w:r>
    </w:p>
    <w:p w14:paraId="36BE19DB" w14:textId="77777777" w:rsidR="0048402F" w:rsidRPr="00DC1476" w:rsidRDefault="0048402F" w:rsidP="00F01ED6">
      <w:pPr>
        <w:pStyle w:val="ProductList-Body"/>
        <w:rPr>
          <w:szCs w:val="18"/>
        </w:rPr>
      </w:pPr>
    </w:p>
    <w:p w14:paraId="2F0032FD" w14:textId="77777777" w:rsidR="00111EE9" w:rsidRPr="0048402F" w:rsidRDefault="00111EE9" w:rsidP="00F01ED6">
      <w:pPr>
        <w:pStyle w:val="ProductList-Body"/>
        <w:rPr>
          <w:b/>
          <w:bCs/>
          <w:color w:val="00188F"/>
        </w:rPr>
      </w:pPr>
      <w:r>
        <w:rPr>
          <w:b/>
          <w:bCs/>
          <w:color w:val="00188F"/>
        </w:rPr>
        <w:t>Definições Adicionais</w:t>
      </w:r>
    </w:p>
    <w:p w14:paraId="35B0DEFD" w14:textId="377F9BF5" w:rsidR="00111EE9" w:rsidRPr="0048402F" w:rsidRDefault="00EE6E3C" w:rsidP="00F01ED6">
      <w:pPr>
        <w:pStyle w:val="ProductList-Body"/>
        <w:rPr>
          <w:b/>
          <w:bCs/>
          <w:color w:val="00188F"/>
        </w:rPr>
      </w:pPr>
      <w:r>
        <w:rPr>
          <w:b/>
          <w:bCs/>
          <w:color w:val="00188F"/>
        </w:rPr>
        <w:t>Cálculo do Período de Disponibilidade e Níveis de Serviço para a Infraestrutura de Carga de Trabalho das Soluções VMware do Azure</w:t>
      </w:r>
    </w:p>
    <w:p w14:paraId="5D6769E6" w14:textId="1A3EE32A" w:rsidR="00111EE9" w:rsidRDefault="00380305" w:rsidP="00F01ED6">
      <w:pPr>
        <w:pStyle w:val="ProductList-Body"/>
      </w:pPr>
      <w:r>
        <w:t>“</w:t>
      </w:r>
      <w:r w:rsidR="00111EE9">
        <w:rPr>
          <w:b/>
          <w:bCs/>
          <w:color w:val="00188F"/>
        </w:rPr>
        <w:t>Máximo de Minutos Disponíveis</w:t>
      </w:r>
      <w:r>
        <w:t>”</w:t>
      </w:r>
      <w:r w:rsidR="00111EE9">
        <w:t xml:space="preserve"> designa o total de minutos acumulados durante um Período Aplicável para todas as máquinas virtuais de</w:t>
      </w:r>
      <w:r w:rsidR="00CE018F">
        <w:t> </w:t>
      </w:r>
      <w:r w:rsidR="00111EE9">
        <w:t>um</w:t>
      </w:r>
      <w:r w:rsidR="00CE018F">
        <w:t> </w:t>
      </w:r>
      <w:r w:rsidR="00111EE9">
        <w:t>cluster de VMware, em que foram implementadas as Soluções VMware do Azure numa subscrição do Microsoft Azure.</w:t>
      </w:r>
    </w:p>
    <w:p w14:paraId="07E62869" w14:textId="78932D83" w:rsidR="00111EE9" w:rsidRDefault="00380305" w:rsidP="00F01ED6">
      <w:pPr>
        <w:pStyle w:val="ProductList-Body"/>
      </w:pPr>
      <w:r>
        <w:t>“</w:t>
      </w:r>
      <w:r w:rsidR="00111EE9">
        <w:rPr>
          <w:b/>
          <w:bCs/>
          <w:color w:val="00188F"/>
        </w:rPr>
        <w:t>Período de Indisponibilidade</w:t>
      </w:r>
      <w:r>
        <w:t>”</w:t>
      </w:r>
      <w:r w:rsidR="00111EE9">
        <w:t xml:space="preserve"> designa o total acumulado de Máximo de Minutos Disponíveis durante um Período Aplicável de um determinado Cluster de VMware no Azure, durante o qual o Serviço está indisponível. Considera-se que um determinado minuto está indisponível se</w:t>
      </w:r>
    </w:p>
    <w:p w14:paraId="228F9330" w14:textId="77777777" w:rsidR="00111EE9" w:rsidRDefault="00111EE9" w:rsidP="00F01ED6">
      <w:pPr>
        <w:pStyle w:val="ProductList-Body"/>
        <w:numPr>
          <w:ilvl w:val="0"/>
          <w:numId w:val="28"/>
        </w:numPr>
      </w:pPr>
      <w:r>
        <w:t>Todas as máquinas virtuais de um setor em execução não tiverem qualquer conectividade durante quatro minutos consecutivos.</w:t>
      </w:r>
    </w:p>
    <w:p w14:paraId="790E6190" w14:textId="77777777" w:rsidR="00111EE9" w:rsidRDefault="00111EE9" w:rsidP="00F01ED6">
      <w:pPr>
        <w:pStyle w:val="ProductList-Body"/>
        <w:numPr>
          <w:ilvl w:val="0"/>
          <w:numId w:val="28"/>
        </w:numPr>
      </w:pPr>
      <w:r>
        <w:t>Nenhuma das máquinas virtuais conseguir aceder ao armazenamento durante quatro minutos consecutivos.</w:t>
      </w:r>
    </w:p>
    <w:p w14:paraId="37C1DC4E" w14:textId="77777777" w:rsidR="00111EE9" w:rsidRDefault="00111EE9" w:rsidP="00F01ED6">
      <w:pPr>
        <w:pStyle w:val="ProductList-Body"/>
        <w:numPr>
          <w:ilvl w:val="0"/>
          <w:numId w:val="28"/>
        </w:numPr>
      </w:pPr>
      <w:r>
        <w:t>Nenhuma das máquinas virtuais puder ser iniciada durante quatro minutos consecutivos.</w:t>
      </w:r>
    </w:p>
    <w:p w14:paraId="232D7414" w14:textId="2CAF36EC"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69A27F12" w14:textId="77777777" w:rsidR="0048402F" w:rsidRPr="00EF7CF9" w:rsidRDefault="0048402F" w:rsidP="00F01ED6">
      <w:pPr>
        <w:pStyle w:val="ProductList-Body"/>
      </w:pPr>
    </w:p>
    <w:p w14:paraId="19F1D4EB" w14:textId="228A3559" w:rsidR="0048402F"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FFE87E"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F01ED6">
            <w:pPr>
              <w:pStyle w:val="ProductList-OfferingBody"/>
              <w:jc w:val="center"/>
            </w:pPr>
            <w:r>
              <w:t>&lt; 99,9%</w:t>
            </w:r>
          </w:p>
        </w:tc>
        <w:tc>
          <w:tcPr>
            <w:tcW w:w="5400" w:type="dxa"/>
          </w:tcPr>
          <w:p w14:paraId="0861B3A4" w14:textId="77777777" w:rsidR="0048402F" w:rsidRPr="005A3C16" w:rsidRDefault="0048402F" w:rsidP="00F01ED6">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F01ED6">
            <w:pPr>
              <w:pStyle w:val="ProductList-OfferingBody"/>
              <w:jc w:val="center"/>
            </w:pPr>
            <w:r>
              <w:t>&lt; 99%</w:t>
            </w:r>
          </w:p>
        </w:tc>
        <w:tc>
          <w:tcPr>
            <w:tcW w:w="5400" w:type="dxa"/>
          </w:tcPr>
          <w:p w14:paraId="072A8441" w14:textId="1E9FCDF3" w:rsidR="0048402F" w:rsidRPr="005A3C16" w:rsidRDefault="0048402F" w:rsidP="00F01ED6">
            <w:pPr>
              <w:pStyle w:val="ProductList-OfferingBody"/>
              <w:jc w:val="center"/>
            </w:pPr>
            <w:r>
              <w:t>30%</w:t>
            </w:r>
          </w:p>
        </w:tc>
      </w:tr>
    </w:tbl>
    <w:p w14:paraId="7925C666" w14:textId="5E3EECAE" w:rsidR="00111EE9" w:rsidRPr="0048402F" w:rsidRDefault="00EE6E3C" w:rsidP="00F01ED6">
      <w:pPr>
        <w:pStyle w:val="ProductList-Body"/>
        <w:spacing w:before="240"/>
        <w:rPr>
          <w:b/>
          <w:bCs/>
          <w:color w:val="00188F"/>
        </w:rPr>
      </w:pPr>
      <w:r>
        <w:rPr>
          <w:b/>
          <w:bCs/>
          <w:color w:val="00188F"/>
        </w:rPr>
        <w:t>Cálculo do Período de Disponibilidade e Níveis de Serviço para as ferramentas de Gestão de VMware do Azure</w:t>
      </w:r>
    </w:p>
    <w:p w14:paraId="39393875" w14:textId="5687FDD4" w:rsidR="00111EE9" w:rsidRDefault="00380305" w:rsidP="00F01ED6">
      <w:pPr>
        <w:pStyle w:val="ProductList-Body"/>
      </w:pPr>
      <w:r>
        <w:t>“</w:t>
      </w:r>
      <w:r w:rsidR="00111EE9">
        <w:rPr>
          <w:b/>
          <w:bCs/>
          <w:color w:val="00188F"/>
        </w:rPr>
        <w:t>Máximo de Minutos Disponíveis</w:t>
      </w:r>
      <w:r>
        <w:t>”</w:t>
      </w:r>
      <w:r w:rsidR="00111EE9">
        <w:t xml:space="preserve"> designa o total acumulado de minutos durante um Período Aplicável para um determinado cluster de VMware, durante o qual as ferramentas de gestão do VMware do Azure foram implementadas numa subscrição do Microsoft Azure.</w:t>
      </w:r>
    </w:p>
    <w:p w14:paraId="6A3427D0" w14:textId="7DF84B27" w:rsidR="00111EE9" w:rsidRDefault="00380305" w:rsidP="00F01ED6">
      <w:pPr>
        <w:pStyle w:val="ProductList-Body"/>
      </w:pPr>
      <w:r>
        <w:t>“</w:t>
      </w:r>
      <w:r w:rsidR="00111EE9">
        <w:rPr>
          <w:b/>
          <w:bCs/>
          <w:color w:val="00188F"/>
        </w:rPr>
        <w:t>Período de Indisponibilidade</w:t>
      </w:r>
      <w:r>
        <w:t>”</w:t>
      </w:r>
      <w:r w:rsidR="00111EE9">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w:t>
      </w:r>
    </w:p>
    <w:p w14:paraId="03DFBFB1" w14:textId="77777777" w:rsidR="00111EE9" w:rsidRDefault="00111EE9" w:rsidP="00DC1476">
      <w:pPr>
        <w:pStyle w:val="ProductList-Body"/>
        <w:keepNext/>
        <w:keepLines/>
        <w:numPr>
          <w:ilvl w:val="0"/>
          <w:numId w:val="29"/>
        </w:numPr>
      </w:pPr>
      <w:r>
        <w:t>O vCenter server não tiver qualquer conectividade durante quatro minutos consecutivos.</w:t>
      </w:r>
    </w:p>
    <w:p w14:paraId="39C99AFB" w14:textId="77777777" w:rsidR="00111EE9" w:rsidRDefault="00111EE9" w:rsidP="00F01ED6">
      <w:pPr>
        <w:pStyle w:val="ProductList-Body"/>
        <w:numPr>
          <w:ilvl w:val="0"/>
          <w:numId w:val="29"/>
        </w:numPr>
      </w:pPr>
      <w:r>
        <w:t>O NSX Manager não tiver qualquer conectividade durante quatro minutos consecutivos.</w:t>
      </w:r>
    </w:p>
    <w:p w14:paraId="064B5313" w14:textId="5C18C216"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0971657C" w14:textId="77777777" w:rsidR="0048402F" w:rsidRPr="00EF7CF9" w:rsidRDefault="0048402F" w:rsidP="00F01ED6">
      <w:pPr>
        <w:pStyle w:val="ProductList-Body"/>
      </w:pPr>
    </w:p>
    <w:p w14:paraId="5E4EF5A0" w14:textId="178FBF51" w:rsidR="0048402F"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08C7392"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F01ED6">
            <w:pPr>
              <w:pStyle w:val="ProductList-OfferingBody"/>
              <w:jc w:val="center"/>
            </w:pPr>
            <w:r>
              <w:t>&lt; 99,9%</w:t>
            </w:r>
          </w:p>
        </w:tc>
        <w:tc>
          <w:tcPr>
            <w:tcW w:w="5400" w:type="dxa"/>
          </w:tcPr>
          <w:p w14:paraId="71BB0B30" w14:textId="77777777" w:rsidR="0048402F" w:rsidRPr="005A3C16" w:rsidRDefault="0048402F" w:rsidP="00F01ED6">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F01ED6">
            <w:pPr>
              <w:pStyle w:val="ProductList-OfferingBody"/>
              <w:jc w:val="center"/>
            </w:pPr>
            <w:r>
              <w:t>&lt; 99%</w:t>
            </w:r>
          </w:p>
        </w:tc>
        <w:tc>
          <w:tcPr>
            <w:tcW w:w="5400" w:type="dxa"/>
          </w:tcPr>
          <w:p w14:paraId="7DA6BAD2" w14:textId="77777777" w:rsidR="0048402F" w:rsidRPr="005A3C16" w:rsidRDefault="0048402F" w:rsidP="00F01ED6">
            <w:pPr>
              <w:pStyle w:val="ProductList-OfferingBody"/>
              <w:jc w:val="center"/>
            </w:pPr>
            <w:r>
              <w:t>30%</w:t>
            </w:r>
          </w:p>
        </w:tc>
      </w:tr>
    </w:tbl>
    <w:p w14:paraId="117BC71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BD958DA" w14:textId="77777777" w:rsidR="00C074BC" w:rsidRPr="00C074BC" w:rsidRDefault="00C074BC" w:rsidP="00F01ED6">
      <w:pPr>
        <w:pStyle w:val="ProductList-Offering2Heading"/>
        <w:keepNext/>
        <w:outlineLvl w:val="2"/>
      </w:pPr>
      <w:bookmarkStart w:id="418" w:name="_Toc182409735"/>
      <w:r>
        <w:t>Azure VNet NAT</w:t>
      </w:r>
      <w:bookmarkEnd w:id="418"/>
    </w:p>
    <w:p w14:paraId="7C326E58" w14:textId="77777777" w:rsidR="00C074BC" w:rsidRPr="00C074BC" w:rsidRDefault="00C074BC" w:rsidP="00F01ED6">
      <w:pPr>
        <w:pStyle w:val="ProductList-Body"/>
        <w:rPr>
          <w:b/>
          <w:bCs/>
          <w:color w:val="00188F"/>
        </w:rPr>
      </w:pPr>
      <w:r>
        <w:rPr>
          <w:b/>
          <w:bCs/>
          <w:color w:val="00188F"/>
        </w:rPr>
        <w:t>Definições Adicionais</w:t>
      </w:r>
    </w:p>
    <w:p w14:paraId="35C02D4A" w14:textId="3362DB91" w:rsidR="00C074BC" w:rsidRDefault="00C074BC" w:rsidP="00F01ED6">
      <w:pPr>
        <w:pStyle w:val="ProductList-Body"/>
      </w:pPr>
      <w:r>
        <w:t xml:space="preserve">O </w:t>
      </w:r>
      <w:r w:rsidR="00380305">
        <w:t>“</w:t>
      </w:r>
      <w:r>
        <w:rPr>
          <w:b/>
          <w:bCs/>
          <w:color w:val="00188F"/>
        </w:rPr>
        <w:t>Endereço IP Público Estático</w:t>
      </w:r>
      <w:r w:rsidR="00380305">
        <w:t>”</w:t>
      </w:r>
      <w:r>
        <w:t xml:space="preserve"> é um endereço IP que foi configurado para a carga de trabalho de um utilizador. Um endereço IP estático não é</w:t>
      </w:r>
      <w:r w:rsidR="00EC57F2">
        <w:t> </w:t>
      </w:r>
      <w:r>
        <w:t>alterado.</w:t>
      </w:r>
    </w:p>
    <w:p w14:paraId="28DC0CC7" w14:textId="6F109093" w:rsidR="00C074BC" w:rsidRDefault="00380305" w:rsidP="00F01ED6">
      <w:pPr>
        <w:pStyle w:val="ProductList-Body"/>
      </w:pPr>
      <w:r>
        <w:t>“</w:t>
      </w:r>
      <w:r w:rsidR="00C074BC">
        <w:rPr>
          <w:b/>
          <w:bCs/>
          <w:color w:val="00188F"/>
        </w:rPr>
        <w:t>Tradução de Endereços de Rede</w:t>
      </w:r>
      <w:r>
        <w:t>”</w:t>
      </w:r>
      <w:r w:rsidR="00C074BC">
        <w:t xml:space="preserve"> é o processo de conversão de endereços IP privados de uma rede privada para um endereço IP público para permitir que múltiplos recursos informáticos do Azure (ou seja, máquinas virtuais) estabeleçam ligação à Internet através de um único endereço público.</w:t>
      </w:r>
    </w:p>
    <w:p w14:paraId="4957B914" w14:textId="7D77B30C" w:rsidR="00C074BC" w:rsidRDefault="00380305" w:rsidP="00F01ED6">
      <w:pPr>
        <w:pStyle w:val="ProductList-Body"/>
      </w:pPr>
      <w:r>
        <w:t>“</w:t>
      </w:r>
      <w:r w:rsidR="00C074BC">
        <w:rPr>
          <w:b/>
          <w:bCs/>
          <w:color w:val="00188F"/>
        </w:rPr>
        <w:t>Conectividade</w:t>
      </w:r>
      <w:r>
        <w:t>”</w:t>
      </w:r>
      <w:r w:rsidR="00C074BC">
        <w:t xml:space="preserve"> designa o tráfego de rede bidirecional através de protocolos de transporte IP suportados que podem ser enviados e recebidos de</w:t>
      </w:r>
      <w:r w:rsidR="00C4555E">
        <w:t> </w:t>
      </w:r>
      <w:r w:rsidR="00C074BC">
        <w:t>qualquer endereço IP configurado para permitir o tráfego.</w:t>
      </w:r>
    </w:p>
    <w:p w14:paraId="2CF65708" w14:textId="1B5730C9" w:rsidR="00C074BC" w:rsidRDefault="00380305" w:rsidP="00F01ED6">
      <w:pPr>
        <w:pStyle w:val="ProductList-Body"/>
      </w:pPr>
      <w:r>
        <w:t>“</w:t>
      </w:r>
      <w:r w:rsidR="00C074BC">
        <w:rPr>
          <w:b/>
          <w:bCs/>
          <w:color w:val="00188F"/>
        </w:rPr>
        <w:t>Tráfego de rede de saída</w:t>
      </w:r>
      <w:r>
        <w:t>”</w:t>
      </w:r>
      <w:r w:rsidR="00C074BC">
        <w:t xml:space="preserve"> é o tráfego que flui de uma rede privada para um ponto final público através da Internet.</w:t>
      </w:r>
    </w:p>
    <w:p w14:paraId="01758F06" w14:textId="77777777" w:rsidR="00C074BC" w:rsidRPr="00F643EA" w:rsidRDefault="00C074BC" w:rsidP="00F01ED6">
      <w:pPr>
        <w:pStyle w:val="ProductList-Body"/>
        <w:rPr>
          <w:sz w:val="12"/>
          <w:szCs w:val="12"/>
        </w:rPr>
      </w:pPr>
    </w:p>
    <w:p w14:paraId="15FC86BD" w14:textId="79CA3363" w:rsidR="00C074BC" w:rsidRPr="00C074BC" w:rsidRDefault="00EE6E3C" w:rsidP="00F01ED6">
      <w:pPr>
        <w:pStyle w:val="ProductList-Body"/>
        <w:rPr>
          <w:b/>
          <w:bCs/>
          <w:color w:val="00188F"/>
        </w:rPr>
      </w:pPr>
      <w:r>
        <w:rPr>
          <w:b/>
          <w:bCs/>
          <w:color w:val="00188F"/>
        </w:rPr>
        <w:t>Cálculo do Período de Disponibilidade e Níveis de Serviço para NAT de Azure VNet</w:t>
      </w:r>
    </w:p>
    <w:p w14:paraId="13C9C4ED" w14:textId="5ECFE241" w:rsidR="00C074BC" w:rsidRDefault="00380305" w:rsidP="00F01ED6">
      <w:pPr>
        <w:pStyle w:val="ProductList-Body"/>
      </w:pPr>
      <w:r>
        <w:t>“</w:t>
      </w:r>
      <w:r w:rsidR="00C074BC">
        <w:rPr>
          <w:b/>
          <w:bCs/>
          <w:color w:val="00188F"/>
        </w:rPr>
        <w:t>Máximo de Minutos Disponíveis</w:t>
      </w:r>
      <w:r>
        <w:t>”</w:t>
      </w:r>
      <w:r w:rsidR="00C074BC">
        <w:t xml:space="preserve"> é o número total de minutos em que o NAT de Azure VNet (servindo duas ou mais Máquinas Virtuais Saudáveis) foi implementado pelo Cliente numa subscrição do Microsoft Azure durante um Período Aplicável.</w:t>
      </w:r>
    </w:p>
    <w:p w14:paraId="5DA3B703" w14:textId="74212F53" w:rsidR="00C074BC" w:rsidRDefault="00380305" w:rsidP="00F01ED6">
      <w:pPr>
        <w:pStyle w:val="ProductList-Body"/>
      </w:pPr>
      <w:r>
        <w:t>“</w:t>
      </w:r>
      <w:r w:rsidR="00C074BC">
        <w:rPr>
          <w:b/>
          <w:bCs/>
          <w:color w:val="00188F"/>
        </w:rPr>
        <w:t>Período de Indisponibilidade</w:t>
      </w:r>
      <w:r>
        <w:t>”</w:t>
      </w:r>
      <w:r w:rsidR="00C074BC">
        <w:t xml:space="preserve"> designa o número total de minutos no Máximo de Minutos Disponíveis durante o qual um determinado NAT de Azure VNet está indisponível. Um minuto é considerado indisponível se todas as Máquinas Virtuais Saudáveis não têm Conectividade através do ponto final de NAT de VNet. O Período de Indisponibilidade não inclui minutos resultantes de esgotamentos de portas SNAT.</w:t>
      </w:r>
    </w:p>
    <w:p w14:paraId="545A6DFC" w14:textId="6551894A" w:rsidR="00C074BC" w:rsidRDefault="00C074BC" w:rsidP="00F01ED6">
      <w:pPr>
        <w:pStyle w:val="ProductList-Body"/>
      </w:pPr>
      <w:r>
        <w:t xml:space="preserve">A </w:t>
      </w:r>
      <w:r w:rsidR="00380305">
        <w:t>“</w:t>
      </w:r>
      <w:r>
        <w:rPr>
          <w:b/>
          <w:bCs/>
          <w:color w:val="00188F"/>
        </w:rPr>
        <w:t>Percentagem de Período de Disponibilidade</w:t>
      </w:r>
      <w:r w:rsidR="00380305">
        <w:t>”</w:t>
      </w:r>
      <w:r>
        <w:t xml:space="preserve"> para o NAT de Azure VNet é calculada como o Máximo de Minutos Disponíveis menos o Período de Indisponibilidade, dividido pelo Máximo de Minutos Disponíveis num Período Aplicável multiplicado por 100.</w:t>
      </w:r>
    </w:p>
    <w:p w14:paraId="14D300FF" w14:textId="637DBE90" w:rsidR="00C074BC" w:rsidRDefault="00AC48A7" w:rsidP="00F01ED6">
      <w:pPr>
        <w:pStyle w:val="ProductList-Body"/>
      </w:pPr>
      <w:r>
        <w:t>A Percentagem de Período de Disponibilidade é representada pela seguinte fórmula:</w:t>
      </w:r>
    </w:p>
    <w:p w14:paraId="103C58B6" w14:textId="77777777" w:rsidR="00C074BC" w:rsidRPr="00EF7CF9" w:rsidRDefault="00C074BC" w:rsidP="00F01ED6">
      <w:pPr>
        <w:pStyle w:val="ProductList-Body"/>
      </w:pPr>
    </w:p>
    <w:p w14:paraId="7623F496" w14:textId="0DFF9C0B" w:rsidR="00C074BC"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54A7BEA" w14:textId="77777777" w:rsidR="00C074BC" w:rsidRDefault="00C074BC" w:rsidP="00F01ED6">
      <w:pPr>
        <w:pStyle w:val="ProductList-Body"/>
      </w:pPr>
      <w:r>
        <w:t>Os seguintes Níveis de Serviço e Crédito de Serviço são aplicáveis ao uso que o Cliente faz do NAT Gateway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69BCB0" w14:textId="77777777" w:rsidR="00C074BC" w:rsidRPr="005A3C16" w:rsidRDefault="00C074BC" w:rsidP="00F01ED6">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F01ED6">
            <w:pPr>
              <w:pStyle w:val="ProductList-OfferingBody"/>
              <w:jc w:val="center"/>
            </w:pPr>
            <w:r>
              <w:t>&lt; 99,99%</w:t>
            </w:r>
          </w:p>
        </w:tc>
        <w:tc>
          <w:tcPr>
            <w:tcW w:w="5400" w:type="dxa"/>
          </w:tcPr>
          <w:p w14:paraId="53358258" w14:textId="77777777" w:rsidR="00C074BC" w:rsidRPr="005A3C16" w:rsidRDefault="00C074BC" w:rsidP="00F01ED6">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F01ED6">
            <w:pPr>
              <w:pStyle w:val="ProductList-OfferingBody"/>
              <w:jc w:val="center"/>
            </w:pPr>
            <w:r>
              <w:t>&lt; 99,9%</w:t>
            </w:r>
          </w:p>
        </w:tc>
        <w:tc>
          <w:tcPr>
            <w:tcW w:w="5400" w:type="dxa"/>
          </w:tcPr>
          <w:p w14:paraId="5BF8DE88" w14:textId="6FD720FA" w:rsidR="00C074BC" w:rsidRPr="005A3C16" w:rsidRDefault="00C074BC" w:rsidP="00F01ED6">
            <w:pPr>
              <w:pStyle w:val="ProductList-OfferingBody"/>
              <w:jc w:val="center"/>
            </w:pPr>
            <w:r>
              <w:t>25%</w:t>
            </w:r>
          </w:p>
        </w:tc>
      </w:tr>
    </w:tbl>
    <w:p w14:paraId="70670E9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0F03E3" w14:textId="73C8BA3E" w:rsidR="004005AF" w:rsidRPr="00EF7CF9" w:rsidRDefault="004005AF" w:rsidP="0091798B">
      <w:pPr>
        <w:pStyle w:val="ProductList-Offering2Heading"/>
        <w:outlineLvl w:val="2"/>
      </w:pPr>
      <w:bookmarkStart w:id="419" w:name="_Toc182409736"/>
      <w:r>
        <w:t xml:space="preserve">Gateway de </w:t>
      </w:r>
      <w:bookmarkEnd w:id="409"/>
      <w:bookmarkEnd w:id="410"/>
      <w:r w:rsidR="00ED3D56" w:rsidRPr="00ED3D56">
        <w:t>Rede Virtual</w:t>
      </w:r>
      <w:bookmarkEnd w:id="419"/>
    </w:p>
    <w:p w14:paraId="3214EABD" w14:textId="77777777" w:rsidR="004005AF" w:rsidRPr="00EF7CF9" w:rsidRDefault="004005AF" w:rsidP="00F01ED6">
      <w:pPr>
        <w:pStyle w:val="ProductList-Body"/>
      </w:pPr>
      <w:r>
        <w:rPr>
          <w:b/>
          <w:color w:val="00188F"/>
        </w:rPr>
        <w:t>Definições Adicionais</w:t>
      </w:r>
      <w:r w:rsidRPr="00473DD3">
        <w:rPr>
          <w:b/>
          <w:color w:val="00188F"/>
        </w:rPr>
        <w:t>:</w:t>
      </w:r>
    </w:p>
    <w:p w14:paraId="2A63F77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designa o total de minutos acumulados durante um Período Aplicável durante o qual um determinado Gateway de Rede Virtual foi implementado numa subscrição do Microsoft Azure.</w:t>
      </w:r>
    </w:p>
    <w:p w14:paraId="5819849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b/>
          <w:color w:val="00188F"/>
          <w:sz w:val="18"/>
        </w:rPr>
        <w:t>Período de Indisponibilidade</w:t>
      </w:r>
      <w:r w:rsidRPr="00C730A5">
        <w:rPr>
          <w:rFonts w:ascii="Calibri" w:eastAsia="Calibri" w:hAnsi="Calibri" w:cs="Arial"/>
          <w:b/>
          <w:bCs/>
          <w:sz w:val="18"/>
        </w:rPr>
        <w:t>:</w:t>
      </w:r>
      <w:r w:rsidRPr="00C730A5">
        <w:rPr>
          <w:rFonts w:ascii="Calibri" w:eastAsia="Calibri" w:hAnsi="Calibri" w:cs="Arial"/>
          <w:sz w:val="18"/>
        </w:rPr>
        <w:t xml:space="preserve"> É o total de Máximo de Minutos Disponíveis acumulados durante os quais o Gateway de Rede Virtual está indisponível. Um minuto é considerado indisponível se todas as tentativas de estabelecer ligação ao Gateway de Rede Virtual numa janela de trinta segundos durante esse minuto não forem bem-sucedidas.</w:t>
      </w:r>
    </w:p>
    <w:p w14:paraId="6600986D"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Percentagem de Período de Disponibilidade</w:t>
      </w:r>
      <w:r w:rsidRPr="00C730A5">
        <w:rPr>
          <w:rFonts w:ascii="Calibri" w:eastAsia="Calibri" w:hAnsi="Calibri" w:cs="Arial"/>
          <w:b/>
          <w:bCs/>
          <w:sz w:val="18"/>
        </w:rPr>
        <w:t>:</w:t>
      </w:r>
      <w:r w:rsidRPr="00C730A5">
        <w:rPr>
          <w:rFonts w:ascii="Calibri" w:eastAsia="Calibri" w:hAnsi="Calibri" w:cs="Arial"/>
          <w:sz w:val="18"/>
        </w:rPr>
        <w:t xml:space="preserve"> A Percentagem de Período de Disponibilidade para um determinado Gateway de Rede Virtual é calculada como o Máximo de Minutos Disponíveis menos o Período de Indisponibilidade a dividir pelo Máximo de Minutos Disponíveis num Período Aplicável para o Gateway de Rede Virtual. A Percentagem de Período de Disponibilidade é representada pela seguinte fórmula:</w:t>
      </w:r>
    </w:p>
    <w:p w14:paraId="3FE48C4D"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2"/>
          <w:szCs w:val="12"/>
        </w:rPr>
      </w:pPr>
    </w:p>
    <w:p w14:paraId="3DE745BB" w14:textId="77777777" w:rsidR="00837DB3" w:rsidRPr="00C730A5" w:rsidRDefault="00000000" w:rsidP="00837DB3">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C6AF604"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2"/>
          <w:szCs w:val="12"/>
        </w:rPr>
      </w:pPr>
    </w:p>
    <w:p w14:paraId="5E6CE48C"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Os seguintes Níveis de Serviço e Créditos de Serviço são aplicáveis à utilização de cada Gateway de Rede Virtual por parte do Cliente</w:t>
      </w:r>
      <w:r w:rsidRPr="00C730A5">
        <w:rPr>
          <w:rFonts w:ascii="Calibri" w:eastAsia="Calibri" w:hAnsi="Calibri" w:cs="Arial"/>
          <w:sz w:val="18"/>
        </w:rPr>
        <w:t>:</w:t>
      </w:r>
    </w:p>
    <w:p w14:paraId="3E0B3097" w14:textId="77777777" w:rsidR="004005AF" w:rsidRPr="00EF7CF9" w:rsidRDefault="004005AF" w:rsidP="00BC65E9">
      <w:pPr>
        <w:pStyle w:val="ProductList-Body"/>
        <w:spacing w:before="120"/>
        <w:ind w:left="360"/>
      </w:pPr>
      <w:r>
        <w:rPr>
          <w:b/>
          <w:color w:val="00188F"/>
        </w:rPr>
        <w:t>Crédito de Serviço de Gateway Basic para VPN ou ExpressRoute</w:t>
      </w:r>
      <w:r w:rsidRPr="00473DD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A72CAC">
        <w:trPr>
          <w:tblHeader/>
        </w:trPr>
        <w:tc>
          <w:tcPr>
            <w:tcW w:w="5400" w:type="dxa"/>
            <w:shd w:val="clear" w:color="auto" w:fill="0072C6"/>
          </w:tcPr>
          <w:p w14:paraId="4E53F423" w14:textId="0F0061A5" w:rsidR="004005AF" w:rsidRPr="00EF7CF9" w:rsidRDefault="00AC48A7" w:rsidP="00F01ED6">
            <w:pPr>
              <w:pStyle w:val="ProductList-OfferingBody"/>
              <w:ind w:left="-23" w:firstLine="23"/>
              <w:jc w:val="center"/>
              <w:rPr>
                <w:color w:val="FFFFFF" w:themeColor="background1"/>
              </w:rPr>
            </w:pPr>
            <w:r>
              <w:rPr>
                <w:color w:val="FFFFFF" w:themeColor="background1"/>
              </w:rPr>
              <w:t>Percentagem de Período de Disponibilidade</w:t>
            </w:r>
          </w:p>
        </w:tc>
        <w:tc>
          <w:tcPr>
            <w:tcW w:w="5490" w:type="dxa"/>
            <w:shd w:val="clear" w:color="auto" w:fill="0072C6"/>
          </w:tcPr>
          <w:p w14:paraId="05C9B00B"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A72CAC">
        <w:tc>
          <w:tcPr>
            <w:tcW w:w="5400" w:type="dxa"/>
          </w:tcPr>
          <w:p w14:paraId="55715AA0" w14:textId="77777777" w:rsidR="004005AF" w:rsidRPr="00EF7CF9" w:rsidRDefault="004005AF" w:rsidP="00F01ED6">
            <w:pPr>
              <w:pStyle w:val="ProductList-OfferingBody"/>
              <w:ind w:left="-23" w:firstLine="23"/>
              <w:jc w:val="center"/>
            </w:pPr>
            <w:r>
              <w:t>&lt; 99,9%</w:t>
            </w:r>
          </w:p>
        </w:tc>
        <w:tc>
          <w:tcPr>
            <w:tcW w:w="5490" w:type="dxa"/>
          </w:tcPr>
          <w:p w14:paraId="78AE8882" w14:textId="77777777" w:rsidR="004005AF" w:rsidRPr="00EF7CF9" w:rsidRDefault="004005AF" w:rsidP="00F01ED6">
            <w:pPr>
              <w:pStyle w:val="ProductList-OfferingBody"/>
              <w:jc w:val="center"/>
            </w:pPr>
            <w:r>
              <w:t>10%</w:t>
            </w:r>
          </w:p>
        </w:tc>
      </w:tr>
      <w:tr w:rsidR="004005AF" w:rsidRPr="00B44CF9" w14:paraId="2272A8E6" w14:textId="77777777" w:rsidTr="00A72CAC">
        <w:tc>
          <w:tcPr>
            <w:tcW w:w="5400" w:type="dxa"/>
          </w:tcPr>
          <w:p w14:paraId="5B662717" w14:textId="77777777" w:rsidR="004005AF" w:rsidRPr="00EF7CF9" w:rsidRDefault="004005AF" w:rsidP="00F01ED6">
            <w:pPr>
              <w:pStyle w:val="ProductList-OfferingBody"/>
              <w:ind w:left="-23" w:firstLine="23"/>
              <w:jc w:val="center"/>
            </w:pPr>
            <w:r>
              <w:t>&lt; 99%</w:t>
            </w:r>
          </w:p>
        </w:tc>
        <w:tc>
          <w:tcPr>
            <w:tcW w:w="5490" w:type="dxa"/>
          </w:tcPr>
          <w:p w14:paraId="78F67851" w14:textId="77777777" w:rsidR="004005AF" w:rsidRPr="00EF7CF9" w:rsidRDefault="004005AF" w:rsidP="00F01ED6">
            <w:pPr>
              <w:pStyle w:val="ProductList-OfferingBody"/>
              <w:jc w:val="center"/>
            </w:pPr>
            <w:r>
              <w:t>25%</w:t>
            </w:r>
          </w:p>
        </w:tc>
      </w:tr>
    </w:tbl>
    <w:p w14:paraId="07CE327E" w14:textId="77777777" w:rsidR="004005AF" w:rsidRPr="00EF7CF9" w:rsidRDefault="004005AF" w:rsidP="00BC65E9">
      <w:pPr>
        <w:pStyle w:val="ProductList-Body"/>
        <w:spacing w:before="120"/>
        <w:ind w:left="360"/>
      </w:pPr>
      <w:r>
        <w:rPr>
          <w:b/>
          <w:bCs/>
          <w:color w:val="00188F"/>
        </w:rPr>
        <w:t>SKUs de Gateway para VPN e Gateway para ExpressRoute, excluindo o Básico</w:t>
      </w:r>
      <w:r w:rsidRPr="00473DD3">
        <w:rPr>
          <w:b/>
          <w:bCs/>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A72CAC">
        <w:trPr>
          <w:trHeight w:val="249"/>
          <w:tblHeader/>
        </w:trPr>
        <w:tc>
          <w:tcPr>
            <w:tcW w:w="5400" w:type="dxa"/>
            <w:shd w:val="clear" w:color="auto" w:fill="0072C6"/>
          </w:tcPr>
          <w:p w14:paraId="0C73C4F2" w14:textId="1CAEA70C"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90" w:type="dxa"/>
            <w:shd w:val="clear" w:color="auto" w:fill="0072C6"/>
          </w:tcPr>
          <w:p w14:paraId="5057421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A72CAC">
        <w:trPr>
          <w:trHeight w:val="242"/>
        </w:trPr>
        <w:tc>
          <w:tcPr>
            <w:tcW w:w="5400" w:type="dxa"/>
          </w:tcPr>
          <w:p w14:paraId="1E41C743" w14:textId="77777777" w:rsidR="004005AF" w:rsidRPr="00EF7CF9" w:rsidRDefault="004005AF" w:rsidP="00F01ED6">
            <w:pPr>
              <w:pStyle w:val="ProductList-OfferingBody"/>
              <w:jc w:val="center"/>
            </w:pPr>
            <w:r>
              <w:t>&lt; 99,95%</w:t>
            </w:r>
          </w:p>
        </w:tc>
        <w:tc>
          <w:tcPr>
            <w:tcW w:w="5490" w:type="dxa"/>
          </w:tcPr>
          <w:p w14:paraId="5C8621FD" w14:textId="77777777" w:rsidR="004005AF" w:rsidRPr="00EF7CF9" w:rsidRDefault="004005AF" w:rsidP="00F01ED6">
            <w:pPr>
              <w:pStyle w:val="ProductList-OfferingBody"/>
              <w:jc w:val="center"/>
            </w:pPr>
            <w:r>
              <w:t>10%</w:t>
            </w:r>
          </w:p>
        </w:tc>
      </w:tr>
      <w:tr w:rsidR="004005AF" w:rsidRPr="00B44CF9" w14:paraId="6508444F" w14:textId="77777777" w:rsidTr="00A72CAC">
        <w:trPr>
          <w:trHeight w:val="249"/>
        </w:trPr>
        <w:tc>
          <w:tcPr>
            <w:tcW w:w="5400" w:type="dxa"/>
          </w:tcPr>
          <w:p w14:paraId="54EDC13C" w14:textId="77777777" w:rsidR="004005AF" w:rsidRPr="00EF7CF9" w:rsidRDefault="004005AF" w:rsidP="00F01ED6">
            <w:pPr>
              <w:pStyle w:val="ProductList-OfferingBody"/>
              <w:keepNext/>
              <w:jc w:val="center"/>
            </w:pPr>
            <w:r>
              <w:t>&lt; 99%</w:t>
            </w:r>
          </w:p>
        </w:tc>
        <w:tc>
          <w:tcPr>
            <w:tcW w:w="5490" w:type="dxa"/>
          </w:tcPr>
          <w:p w14:paraId="401AF3D0" w14:textId="77777777" w:rsidR="004005AF" w:rsidRPr="00EF7CF9" w:rsidRDefault="004005AF" w:rsidP="00F01ED6">
            <w:pPr>
              <w:pStyle w:val="ProductList-OfferingBody"/>
              <w:keepNext/>
              <w:jc w:val="center"/>
            </w:pPr>
            <w:r>
              <w:t>25%</w:t>
            </w:r>
          </w:p>
        </w:tc>
      </w:tr>
    </w:tbl>
    <w:bookmarkEnd w:id="411"/>
    <w:bookmarkEnd w:id="412"/>
    <w:bookmarkEnd w:id="413"/>
    <w:bookmarkEnd w:id="414"/>
    <w:bookmarkEnd w:id="415"/>
    <w:p w14:paraId="4BB3D36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D0785CF" w14:textId="77777777" w:rsidR="00637D9A" w:rsidRPr="00637D9A" w:rsidRDefault="00637D9A" w:rsidP="00F01ED6">
      <w:pPr>
        <w:pStyle w:val="ProductList-Offering2Heading"/>
        <w:keepNext/>
        <w:outlineLvl w:val="2"/>
      </w:pPr>
      <w:bookmarkStart w:id="420" w:name="_Toc182409737"/>
      <w:r>
        <w:t>Azure Web PubSub</w:t>
      </w:r>
      <w:bookmarkEnd w:id="420"/>
    </w:p>
    <w:p w14:paraId="44A5270C" w14:textId="77777777" w:rsidR="00637D9A" w:rsidRPr="00637D9A" w:rsidRDefault="00637D9A" w:rsidP="00F01ED6">
      <w:pPr>
        <w:pStyle w:val="ProductList-Body"/>
        <w:rPr>
          <w:b/>
          <w:bCs/>
          <w:color w:val="00188F"/>
        </w:rPr>
      </w:pPr>
      <w:r>
        <w:rPr>
          <w:b/>
          <w:bCs/>
          <w:color w:val="00188F"/>
        </w:rPr>
        <w:t>Definições Adicionais</w:t>
      </w:r>
    </w:p>
    <w:p w14:paraId="0ED7D0D4" w14:textId="580148E0" w:rsidR="00637D9A" w:rsidRDefault="00380305" w:rsidP="00F01ED6">
      <w:pPr>
        <w:pStyle w:val="ProductList-Body"/>
      </w:pPr>
      <w:r>
        <w:t>“</w:t>
      </w:r>
      <w:r w:rsidR="00637D9A">
        <w:rPr>
          <w:b/>
          <w:bCs/>
          <w:color w:val="00188F"/>
        </w:rPr>
        <w:t>Ponto Final do serviço Web PubSub</w:t>
      </w:r>
      <w:r>
        <w:t>”</w:t>
      </w:r>
      <w:r w:rsidR="00637D9A">
        <w:t xml:space="preserve"> é o nome do anfitrião a partir do qual o serviço Web PubSub é acedido pelos servidores ou clientes para realizar as transações Web PubSub.</w:t>
      </w:r>
    </w:p>
    <w:p w14:paraId="3F676377" w14:textId="57AB3D97" w:rsidR="00637D9A" w:rsidRDefault="00380305" w:rsidP="00F01ED6">
      <w:pPr>
        <w:pStyle w:val="ProductList-Body"/>
      </w:pPr>
      <w:r>
        <w:t>“</w:t>
      </w:r>
      <w:r w:rsidR="00637D9A">
        <w:rPr>
          <w:b/>
          <w:bCs/>
          <w:color w:val="00188F"/>
        </w:rPr>
        <w:t>Transações Web PubSub</w:t>
      </w:r>
      <w:r>
        <w:t>”</w:t>
      </w:r>
      <w:r w:rsidR="00637D9A">
        <w:t xml:space="preserve"> é um conjunto de pedidos de transação enviado pelo cliente para o servidor ou do servidor para o cliente através de um</w:t>
      </w:r>
      <w:r w:rsidR="00AB03DB">
        <w:t> </w:t>
      </w:r>
      <w:r w:rsidR="00637D9A">
        <w:t>Ponto Final do serviço Web PubSub. Estes pedidos de transação incluem a configuração da ligação entre o servidor/cliente e o Ponto Final de</w:t>
      </w:r>
      <w:r w:rsidR="00AB03DB">
        <w:t> </w:t>
      </w:r>
      <w:r w:rsidR="00637D9A">
        <w:t>serviço do Web PubSub ou o envio das mensagens através do Ponto Final do serviço Web PubSub.</w:t>
      </w:r>
    </w:p>
    <w:p w14:paraId="7A6D697D" w14:textId="734B425C" w:rsidR="00637D9A" w:rsidRPr="00637D9A" w:rsidRDefault="00EE6E3C" w:rsidP="00F01ED6">
      <w:pPr>
        <w:pStyle w:val="ProductList-Body"/>
        <w:rPr>
          <w:b/>
          <w:bCs/>
          <w:color w:val="00188F"/>
        </w:rPr>
      </w:pPr>
      <w:r>
        <w:rPr>
          <w:b/>
          <w:bCs/>
          <w:color w:val="00188F"/>
        </w:rPr>
        <w:t>Cálculo do Período de Disponibilidade e Níveis de Serviço para a Instância do serviço Web PubSub</w:t>
      </w:r>
    </w:p>
    <w:p w14:paraId="5274C6D6" w14:textId="7D135CFF" w:rsidR="00637D9A" w:rsidRDefault="00380305" w:rsidP="00F01ED6">
      <w:pPr>
        <w:pStyle w:val="ProductList-Body"/>
      </w:pPr>
      <w:r>
        <w:t>“</w:t>
      </w:r>
      <w:r w:rsidR="00637D9A">
        <w:rPr>
          <w:b/>
          <w:bCs/>
          <w:color w:val="00188F"/>
        </w:rPr>
        <w:t>Máximo de Minutos Disponíveis</w:t>
      </w:r>
      <w:r>
        <w:t>”</w:t>
      </w:r>
      <w:r w:rsidR="00637D9A">
        <w:t xml:space="preserve"> é o número total de minutos durante os quais foi implementado o serviço Web PubSub pelo Cliente numa subscrição do Microsoft Azure, durante um Período Aplicável.</w:t>
      </w:r>
    </w:p>
    <w:p w14:paraId="54F466A0" w14:textId="4EFE100F" w:rsidR="00637D9A" w:rsidRPr="0074049A" w:rsidRDefault="00380305" w:rsidP="00F01ED6">
      <w:pPr>
        <w:pStyle w:val="ProductList-Body"/>
        <w:rPr>
          <w:spacing w:val="-2"/>
        </w:rPr>
      </w:pPr>
      <w:r>
        <w:rPr>
          <w:spacing w:val="-2"/>
        </w:rPr>
        <w:t>“</w:t>
      </w:r>
      <w:r w:rsidR="00637D9A" w:rsidRPr="0074049A">
        <w:rPr>
          <w:b/>
          <w:bCs/>
          <w:color w:val="00188F"/>
          <w:spacing w:val="-2"/>
        </w:rPr>
        <w:t>Período de Indisponibilidade:</w:t>
      </w:r>
      <w:r>
        <w:rPr>
          <w:spacing w:val="-2"/>
        </w:rPr>
        <w:t>”</w:t>
      </w:r>
      <w:r w:rsidR="00637D9A" w:rsidRPr="0074049A">
        <w:rPr>
          <w:spacing w:val="-2"/>
        </w:rPr>
        <w:t xml:space="preserve"> designa o total acumulado de Máximo de Minutos Disponíveis durante um Período Aplicável para o serviço Web PubSub durante o qual o serviço Web PubSub está indisponível. Considera-se um determinado minuto como indisponível se todas as tentativas de envio de transações Web PubSub durante esse minuto devolverem um Código de Erro ou não resultarem num Código de Sucesso durante um minuto.</w:t>
      </w:r>
    </w:p>
    <w:p w14:paraId="2D69C325" w14:textId="42DD7B43" w:rsidR="00637D9A" w:rsidRDefault="00637D9A" w:rsidP="00F01ED6">
      <w:pPr>
        <w:pStyle w:val="ProductList-Body"/>
      </w:pPr>
      <w:r>
        <w:t xml:space="preserve">A </w:t>
      </w:r>
      <w:r w:rsidR="00380305">
        <w:t>“</w:t>
      </w:r>
      <w:r>
        <w:rPr>
          <w:b/>
          <w:bCs/>
          <w:color w:val="00188F"/>
        </w:rPr>
        <w:t>Percentagem de Período de Disponibilidade</w:t>
      </w:r>
      <w:r w:rsidR="00380305">
        <w:t>”</w:t>
      </w:r>
      <w:r>
        <w:t xml:space="preserve"> para o serviço Web PubSub é calculada como o Máximo de Minutos Disponíveis menos o Período de Indisponibilidade a dividir pelo Máximo de Minutos Disponíveis.</w:t>
      </w:r>
    </w:p>
    <w:p w14:paraId="61D19559" w14:textId="75F68B45" w:rsidR="00637D9A" w:rsidRDefault="00AC48A7" w:rsidP="00F01ED6">
      <w:pPr>
        <w:pStyle w:val="ProductList-Body"/>
      </w:pPr>
      <w:r>
        <w:t>A Percentagem de Período de Disponibilidade é representada pela seguinte fórmula:</w:t>
      </w:r>
    </w:p>
    <w:p w14:paraId="0C6B296B" w14:textId="77777777" w:rsidR="00A21B39" w:rsidRPr="00EF7CF9" w:rsidRDefault="00A21B39" w:rsidP="00F01ED6">
      <w:pPr>
        <w:pStyle w:val="ProductList-Body"/>
      </w:pPr>
    </w:p>
    <w:p w14:paraId="062095F6" w14:textId="588D38CA" w:rsidR="00A21B39"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EDCA498" w14:textId="7B9E9CBC" w:rsidR="00637D9A" w:rsidRPr="00A21B39" w:rsidRDefault="00637D9A" w:rsidP="00F01ED6">
      <w:pPr>
        <w:pStyle w:val="ProductList-Body"/>
        <w:rPr>
          <w:b/>
          <w:bCs/>
          <w:color w:val="00188F"/>
        </w:rPr>
      </w:pPr>
      <w:r>
        <w:rPr>
          <w:b/>
          <w:bCs/>
          <w:color w:val="00188F"/>
        </w:rPr>
        <w:t xml:space="preserve">Os seguintes Níveis de Serviço e Créditos de Serviço são aplicáveis à utilização que o Cliente faz das camadas Standard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A72CAC">
        <w:trPr>
          <w:trHeight w:val="249"/>
          <w:tblHeader/>
        </w:trPr>
        <w:tc>
          <w:tcPr>
            <w:tcW w:w="5220" w:type="dxa"/>
            <w:shd w:val="clear" w:color="auto" w:fill="0072C6"/>
          </w:tcPr>
          <w:p w14:paraId="6152B28C" w14:textId="0E49D5BF" w:rsidR="00A21B3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580" w:type="dxa"/>
            <w:shd w:val="clear" w:color="auto" w:fill="0072C6"/>
          </w:tcPr>
          <w:p w14:paraId="3C987E79" w14:textId="77777777" w:rsidR="00A21B39" w:rsidRPr="00EF7CF9" w:rsidRDefault="00A21B39" w:rsidP="00F01ED6">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A72CAC">
        <w:trPr>
          <w:trHeight w:val="242"/>
        </w:trPr>
        <w:tc>
          <w:tcPr>
            <w:tcW w:w="5220" w:type="dxa"/>
          </w:tcPr>
          <w:p w14:paraId="3AD3F0BF" w14:textId="24FDC99B" w:rsidR="00A21B39" w:rsidRPr="00EF7CF9" w:rsidRDefault="00A21B39" w:rsidP="00F01ED6">
            <w:pPr>
              <w:pStyle w:val="ProductList-OfferingBody"/>
              <w:jc w:val="center"/>
            </w:pPr>
            <w:r>
              <w:t>&lt; 99,9%</w:t>
            </w:r>
          </w:p>
        </w:tc>
        <w:tc>
          <w:tcPr>
            <w:tcW w:w="5580" w:type="dxa"/>
          </w:tcPr>
          <w:p w14:paraId="6FC79C7C" w14:textId="77777777" w:rsidR="00A21B39" w:rsidRPr="00EF7CF9" w:rsidRDefault="00A21B39" w:rsidP="00F01ED6">
            <w:pPr>
              <w:pStyle w:val="ProductList-OfferingBody"/>
              <w:jc w:val="center"/>
            </w:pPr>
            <w:r>
              <w:t>10%</w:t>
            </w:r>
          </w:p>
        </w:tc>
      </w:tr>
      <w:tr w:rsidR="00A21B39" w:rsidRPr="00B44CF9" w14:paraId="04DCC853" w14:textId="77777777" w:rsidTr="00A72CAC">
        <w:trPr>
          <w:trHeight w:val="249"/>
        </w:trPr>
        <w:tc>
          <w:tcPr>
            <w:tcW w:w="5220" w:type="dxa"/>
          </w:tcPr>
          <w:p w14:paraId="2B0BEC00" w14:textId="77777777" w:rsidR="00A21B39" w:rsidRPr="00EF7CF9" w:rsidRDefault="00A21B39" w:rsidP="00F01ED6">
            <w:pPr>
              <w:pStyle w:val="ProductList-OfferingBody"/>
              <w:keepNext/>
              <w:jc w:val="center"/>
            </w:pPr>
            <w:r>
              <w:t>&lt; 99%</w:t>
            </w:r>
          </w:p>
        </w:tc>
        <w:tc>
          <w:tcPr>
            <w:tcW w:w="5580" w:type="dxa"/>
          </w:tcPr>
          <w:p w14:paraId="03699744" w14:textId="77777777" w:rsidR="00A21B39" w:rsidRPr="00EF7CF9" w:rsidRDefault="00A21B39" w:rsidP="00F01ED6">
            <w:pPr>
              <w:pStyle w:val="ProductList-OfferingBody"/>
              <w:keepNext/>
              <w:jc w:val="center"/>
            </w:pPr>
            <w:r>
              <w:t>25%</w:t>
            </w:r>
          </w:p>
        </w:tc>
      </w:tr>
    </w:tbl>
    <w:p w14:paraId="5EDF5F6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5FA765" w14:textId="77777777" w:rsidR="0054334B" w:rsidRPr="002D6760" w:rsidRDefault="0054334B" w:rsidP="00F01ED6">
      <w:pPr>
        <w:pStyle w:val="ProductList-Offering2Heading"/>
        <w:keepNext/>
        <w:outlineLvl w:val="2"/>
      </w:pPr>
      <w:bookmarkStart w:id="421" w:name="_Toc182409738"/>
      <w:r>
        <w:t>Windows 10 IoT Core Services</w:t>
      </w:r>
      <w:bookmarkEnd w:id="421"/>
    </w:p>
    <w:p w14:paraId="66A5ACEC" w14:textId="438CD4D1" w:rsidR="0054334B" w:rsidRPr="002D6760" w:rsidRDefault="00EE6E3C" w:rsidP="00F01ED6">
      <w:pPr>
        <w:pStyle w:val="ProductList-Body"/>
        <w:rPr>
          <w:b/>
          <w:bCs/>
          <w:color w:val="00188F"/>
        </w:rPr>
      </w:pPr>
      <w:r>
        <w:rPr>
          <w:b/>
          <w:bCs/>
          <w:color w:val="00188F"/>
        </w:rPr>
        <w:t>Cálculo do Período de Disponibilidade e Níveis de Serviço para os Serviços do Windows 10 IoT Core</w:t>
      </w:r>
    </w:p>
    <w:p w14:paraId="7CE7D4D7" w14:textId="17A13404" w:rsidR="0054334B" w:rsidRDefault="00380305" w:rsidP="00F01ED6">
      <w:pPr>
        <w:pStyle w:val="ProductList-Body"/>
      </w:pPr>
      <w:r>
        <w:t>“</w:t>
      </w:r>
      <w:r w:rsidR="0054334B">
        <w:rPr>
          <w:b/>
          <w:bCs/>
          <w:color w:val="00188F"/>
        </w:rPr>
        <w:t>Máximo de Minutos Disponíveis</w:t>
      </w:r>
      <w:r>
        <w:t>”</w:t>
      </w:r>
      <w:r w:rsidR="0054334B">
        <w:t xml:space="preserve"> designa o número total de minutos para um determinado Serviço do Windows 10 IoT Core implementado numa determinada subscrição do Microsoft Azure durante um Período Aplicável.</w:t>
      </w:r>
    </w:p>
    <w:p w14:paraId="64DD26A7" w14:textId="1F78715C" w:rsidR="0054334B" w:rsidRDefault="00380305" w:rsidP="00F01ED6">
      <w:pPr>
        <w:pStyle w:val="ProductList-Body"/>
      </w:pPr>
      <w:r>
        <w:t>“</w:t>
      </w:r>
      <w:r w:rsidR="0054334B">
        <w:rPr>
          <w:b/>
          <w:bCs/>
          <w:color w:val="00188F"/>
        </w:rPr>
        <w:t>Período de Indisponibilidade</w:t>
      </w:r>
      <w:r>
        <w:t>”</w:t>
      </w:r>
      <w:r w:rsidR="0054334B">
        <w:t xml:space="preserve"> designa o número total de minutos no Máximo de Minutos Disponíveis durante o qual os Serviços do Windows 10 IoT Core estão indisponíveis. Um minuto é considerado indisponível para uma determinada instância dos Serviços do Windows 10 IoT Core se todas as tentativas contínuas para iniciar sessão no Centro de Atualização do Dispositivo ou executar Operações no Centro de Atualização do Dispositivo durante esse minuto devolverem um Código de Erro ou não resultarem num Código de Êxito no prazo de dois minutos.</w:t>
      </w:r>
    </w:p>
    <w:p w14:paraId="1320B9E6" w14:textId="1DBBE274" w:rsidR="0054334B" w:rsidRDefault="00380305" w:rsidP="00F01ED6">
      <w:pPr>
        <w:pStyle w:val="ProductList-Body"/>
      </w:pPr>
      <w:r>
        <w:t>“</w:t>
      </w:r>
      <w:r w:rsidR="0054334B">
        <w:rPr>
          <w:b/>
          <w:bCs/>
          <w:color w:val="00188F"/>
        </w:rPr>
        <w:t>Percentagem de Período de Disponibilidade</w:t>
      </w:r>
      <w:r>
        <w:t>”</w:t>
      </w:r>
      <w:r w:rsidR="0054334B">
        <w:t xml:space="preserve"> A Percentagem de Período de Disponibilidade é calculada utilizando a seguinte fórmula:</w:t>
      </w:r>
    </w:p>
    <w:p w14:paraId="69886F3D" w14:textId="77777777" w:rsidR="0054334B" w:rsidRDefault="0054334B" w:rsidP="00F01ED6">
      <w:pPr>
        <w:pStyle w:val="ProductList-Body"/>
      </w:pPr>
    </w:p>
    <w:p w14:paraId="32206A53" w14:textId="49B20839" w:rsidR="0054334B" w:rsidRPr="00EF7CF9" w:rsidRDefault="00000000" w:rsidP="00F01ED6">
      <w:pPr>
        <w:spacing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09BD2F6" w14:textId="77777777" w:rsidR="0054334B" w:rsidRPr="00E51CB1" w:rsidRDefault="0054334B" w:rsidP="00F01ED6">
      <w:pPr>
        <w:pStyle w:val="ProductList-Body"/>
        <w:keepNext/>
        <w:rPr>
          <w:b/>
          <w:bCs/>
          <w:color w:val="00188F"/>
        </w:rPr>
      </w:pPr>
      <w:r>
        <w:rPr>
          <w:b/>
          <w:bCs/>
          <w:color w:val="00188F"/>
        </w:rPr>
        <w:t>Os seguintes Níveis de Serviço e Créditos de Serviço são aplicáveis à utilização que o Cliente faz dos Serviços do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D8B523" w14:textId="77777777" w:rsidR="0054334B" w:rsidRPr="00EF7CF9" w:rsidRDefault="0054334B" w:rsidP="00F01ED6">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F01ED6">
            <w:pPr>
              <w:pStyle w:val="ProductList-OfferingBody"/>
              <w:jc w:val="center"/>
            </w:pPr>
            <w:r>
              <w:t>&lt; 99,9%</w:t>
            </w:r>
          </w:p>
        </w:tc>
        <w:tc>
          <w:tcPr>
            <w:tcW w:w="5400" w:type="dxa"/>
          </w:tcPr>
          <w:p w14:paraId="6930A573" w14:textId="77777777" w:rsidR="0054334B" w:rsidRPr="00EF7CF9" w:rsidRDefault="0054334B" w:rsidP="00F01ED6">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F01ED6">
            <w:pPr>
              <w:pStyle w:val="ProductList-OfferingBody"/>
              <w:jc w:val="center"/>
            </w:pPr>
            <w:r>
              <w:t>&lt; 99%</w:t>
            </w:r>
          </w:p>
        </w:tc>
        <w:tc>
          <w:tcPr>
            <w:tcW w:w="5400" w:type="dxa"/>
          </w:tcPr>
          <w:p w14:paraId="6B31DA5D" w14:textId="77777777" w:rsidR="0054334B" w:rsidRPr="00EF7CF9" w:rsidRDefault="0054334B" w:rsidP="00F01ED6">
            <w:pPr>
              <w:pStyle w:val="ProductList-OfferingBody"/>
              <w:keepNext/>
              <w:jc w:val="center"/>
            </w:pPr>
            <w:r>
              <w:t>25%</w:t>
            </w:r>
          </w:p>
        </w:tc>
      </w:tr>
    </w:tbl>
    <w:p w14:paraId="4D29A50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E8BDC16" w14:textId="0AFA94B5" w:rsidR="003A16EB" w:rsidRPr="00EF7CF9" w:rsidRDefault="003A16EB" w:rsidP="00F01ED6">
      <w:pPr>
        <w:pStyle w:val="ProductList-OfferingGroupHeading"/>
        <w:keepNext/>
        <w:tabs>
          <w:tab w:val="clear" w:pos="360"/>
          <w:tab w:val="clear" w:pos="720"/>
          <w:tab w:val="clear" w:pos="1080"/>
        </w:tabs>
        <w:outlineLvl w:val="1"/>
      </w:pPr>
      <w:bookmarkStart w:id="422" w:name="_Toc182409739"/>
      <w:r>
        <w:t>Outros Serviços Online</w:t>
      </w:r>
      <w:bookmarkEnd w:id="112"/>
      <w:bookmarkEnd w:id="422"/>
    </w:p>
    <w:p w14:paraId="7002A494" w14:textId="77777777" w:rsidR="00657A3A" w:rsidRDefault="00657A3A" w:rsidP="00F01ED6">
      <w:pPr>
        <w:pStyle w:val="ProductList-Offering2Heading"/>
        <w:tabs>
          <w:tab w:val="clear" w:pos="360"/>
          <w:tab w:val="clear" w:pos="720"/>
          <w:tab w:val="clear" w:pos="1080"/>
        </w:tabs>
        <w:outlineLvl w:val="2"/>
      </w:pPr>
      <w:bookmarkStart w:id="423" w:name="_Toc55920316"/>
      <w:bookmarkStart w:id="424" w:name="_Toc182409740"/>
      <w:bookmarkStart w:id="425" w:name="MicrosoftDefenderforIdentity"/>
      <w:bookmarkStart w:id="426" w:name="_Toc457821592"/>
      <w:r>
        <w:t>Microsoft Defender para Identidade</w:t>
      </w:r>
      <w:bookmarkEnd w:id="423"/>
      <w:bookmarkEnd w:id="424"/>
    </w:p>
    <w:bookmarkEnd w:id="425"/>
    <w:p w14:paraId="3070A80B" w14:textId="77777777" w:rsidR="00657A3A" w:rsidRPr="00DA6241" w:rsidRDefault="00657A3A" w:rsidP="00F01ED6">
      <w:pPr>
        <w:pStyle w:val="ProductList-Body"/>
      </w:pPr>
      <w:r>
        <w:rPr>
          <w:b/>
          <w:color w:val="00188F"/>
        </w:rPr>
        <w:t>Definições Adicionais</w:t>
      </w:r>
      <w:r w:rsidRPr="00473DD3">
        <w:rPr>
          <w:b/>
          <w:color w:val="00188F"/>
        </w:rPr>
        <w:t>:</w:t>
      </w:r>
    </w:p>
    <w:p w14:paraId="7B084D0A" w14:textId="63002500" w:rsidR="00ED3A16" w:rsidRDefault="00380305" w:rsidP="00F01ED6">
      <w:pPr>
        <w:spacing w:after="0" w:line="240" w:lineRule="auto"/>
        <w:rPr>
          <w:sz w:val="18"/>
        </w:rPr>
      </w:pPr>
      <w:r>
        <w:rPr>
          <w:sz w:val="18"/>
        </w:rPr>
        <w:t>“</w:t>
      </w:r>
      <w:r w:rsidR="00657A3A">
        <w:rPr>
          <w:b/>
          <w:color w:val="00188F"/>
          <w:sz w:val="18"/>
        </w:rPr>
        <w:t>Período de Indisponibilidade:</w:t>
      </w:r>
      <w:r>
        <w:rPr>
          <w:sz w:val="18"/>
        </w:rPr>
        <w:t>”</w:t>
      </w:r>
      <w:r w:rsidR="00657A3A">
        <w:rPr>
          <w:sz w:val="18"/>
        </w:rPr>
        <w:t xml:space="preserve"> designa Qualquer período de tempo durante o qual o administrador não consegue aceder ao portal do Microsoft Defender para Identidade.</w:t>
      </w:r>
    </w:p>
    <w:p w14:paraId="08807E89" w14:textId="069779A6" w:rsidR="00ED3A16" w:rsidRPr="00CE181C" w:rsidRDefault="00AC48A7" w:rsidP="00F01ED6">
      <w:pPr>
        <w:pStyle w:val="ProductList-Body"/>
      </w:pPr>
      <w:r>
        <w:rPr>
          <w:b/>
          <w:bCs/>
          <w:color w:val="00188F"/>
        </w:rPr>
        <w:t>Percentagem de Período de Disponibilidade</w:t>
      </w:r>
      <w:r w:rsidRPr="00473DD3">
        <w:rPr>
          <w:b/>
          <w:bCs/>
          <w:color w:val="00188F"/>
        </w:rPr>
        <w:t>:</w:t>
      </w:r>
      <w:r>
        <w:t xml:space="preserve"> A Percentagem de Período de Disponibilidade é calculada através da seguinte fórmula: </w:t>
      </w:r>
    </w:p>
    <w:p w14:paraId="4482F1A9" w14:textId="77777777" w:rsidR="00ED3A16" w:rsidRPr="00CE181C" w:rsidRDefault="00ED3A16" w:rsidP="00F01ED6">
      <w:pPr>
        <w:pStyle w:val="ProductList-Body"/>
      </w:pPr>
    </w:p>
    <w:p w14:paraId="6E7DBA75" w14:textId="7589C50E" w:rsidR="00ED3A16" w:rsidRDefault="00000000" w:rsidP="00F01ED6">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de Utilizador - Período de Indisponibilidade</m:t>
              </m:r>
            </m:num>
            <m:den>
              <m:r>
                <m:rPr>
                  <m:nor/>
                </m:rPr>
                <w:rPr>
                  <w:rFonts w:ascii="Cambria Math" w:hAnsi="Cambria Math"/>
                  <w:i/>
                  <w:iCs/>
                  <w:sz w:val="18"/>
                  <w:szCs w:val="18"/>
                </w:rPr>
                <m:t>Minutos de Utilizador</m:t>
              </m:r>
            </m:den>
          </m:f>
          <m:r>
            <w:rPr>
              <w:rFonts w:ascii="Cambria Math" w:hAnsi="Cambria Math"/>
              <w:sz w:val="18"/>
              <w:szCs w:val="18"/>
            </w:rPr>
            <m:t xml:space="preserve"> x 100 </m:t>
          </m:r>
        </m:oMath>
      </m:oMathPara>
    </w:p>
    <w:p w14:paraId="68670114" w14:textId="53FA516C" w:rsidR="00ED3A16" w:rsidRDefault="00AC48A7" w:rsidP="00F01ED6">
      <w:pPr>
        <w:pStyle w:val="ProductList-Body"/>
        <w:ind w:right="135"/>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2A14FBB" w14:textId="77777777" w:rsidR="00ED3A16" w:rsidRPr="00AA43CF" w:rsidRDefault="00ED3A16" w:rsidP="00F01ED6">
      <w:pPr>
        <w:pStyle w:val="ProductList-Body"/>
        <w:rPr>
          <w:szCs w:val="18"/>
        </w:rPr>
      </w:pPr>
    </w:p>
    <w:p w14:paraId="117C8F41" w14:textId="77777777" w:rsidR="00ED3A16" w:rsidRDefault="00ED3A16"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F01ED6">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F01ED6">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F01ED6">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F01ED6">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F01ED6">
            <w:pPr>
              <w:pStyle w:val="ProductList-OfferingBody"/>
              <w:jc w:val="center"/>
            </w:pPr>
            <w:r>
              <w:t>25%</w:t>
            </w:r>
          </w:p>
        </w:tc>
      </w:tr>
    </w:tbl>
    <w:p w14:paraId="1737F36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7EF96CA" w14:textId="324A23F2" w:rsidR="00E856FE" w:rsidRDefault="00E856FE" w:rsidP="00F01ED6">
      <w:pPr>
        <w:pStyle w:val="ProductList-Offering2Heading"/>
        <w:tabs>
          <w:tab w:val="clear" w:pos="360"/>
          <w:tab w:val="clear" w:pos="720"/>
          <w:tab w:val="clear" w:pos="1080"/>
        </w:tabs>
        <w:outlineLvl w:val="2"/>
      </w:pPr>
      <w:bookmarkStart w:id="427" w:name="_Toc182409741"/>
      <w:r>
        <w:t>Microsoft Defender para IoT</w:t>
      </w:r>
      <w:bookmarkEnd w:id="427"/>
    </w:p>
    <w:p w14:paraId="0D787271" w14:textId="77777777" w:rsidR="00E856FE" w:rsidRDefault="00E856FE" w:rsidP="00F01ED6">
      <w:pPr>
        <w:pStyle w:val="ProductList-Body"/>
      </w:pPr>
      <w:r>
        <w:rPr>
          <w:b/>
          <w:color w:val="00188F"/>
        </w:rPr>
        <w:t>Definições Adicionais</w:t>
      </w:r>
      <w:r w:rsidRPr="00473DD3">
        <w:rPr>
          <w:b/>
          <w:color w:val="00188F"/>
        </w:rPr>
        <w:t>:</w:t>
      </w:r>
    </w:p>
    <w:p w14:paraId="30311482" w14:textId="6978BFAD" w:rsidR="0050152D" w:rsidRDefault="00380305" w:rsidP="00F01ED6">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 Máximo de Minutos Disponíveis é calculado desde o momento em que uma Subscrição é criada após a conclusão com êxito do processo de integração.</w:t>
      </w:r>
    </w:p>
    <w:p w14:paraId="65EC79CF" w14:textId="23CD40D1" w:rsidR="0050152D" w:rsidRPr="00F66064" w:rsidRDefault="00380305" w:rsidP="00F01ED6">
      <w:pPr>
        <w:pStyle w:val="ProductList-Body"/>
      </w:pPr>
      <w:r>
        <w:t>“</w:t>
      </w:r>
      <w:r w:rsidR="0050152D">
        <w:rPr>
          <w:b/>
          <w:bCs/>
          <w:color w:val="00188F"/>
        </w:rPr>
        <w:t>Período de Indisponibilidade</w:t>
      </w:r>
      <w:r>
        <w:t>”</w:t>
      </w:r>
      <w:r w:rsidR="0050152D">
        <w:t xml:space="preserve"> O número total de minutos em que um cliente não consegue aceder a qualquer parte de um portal do Microsoft Defender para IoT para o qual tenham as permissões adequadas e tenha uma licença válida ativa. </w:t>
      </w:r>
    </w:p>
    <w:p w14:paraId="3C09ECCD" w14:textId="69F59FA0" w:rsidR="0050152D" w:rsidRDefault="00380305" w:rsidP="00F01ED6">
      <w:pPr>
        <w:pStyle w:val="ProductList-Body"/>
      </w:pPr>
      <w:r w:rsidRPr="00CB7596">
        <w:t>“</w:t>
      </w:r>
      <w:r w:rsidR="0050152D">
        <w:rPr>
          <w:b/>
          <w:color w:val="00188F"/>
        </w:rPr>
        <w:t>Subscrição</w:t>
      </w:r>
      <w:r w:rsidRPr="00CB7596">
        <w:t>”</w:t>
      </w:r>
      <w:r w:rsidR="0050152D">
        <w:rPr>
          <w:rStyle w:val="normaltextrun"/>
          <w:rFonts w:ascii="Calibri" w:hAnsi="Calibri" w:cs="Calibri"/>
          <w:color w:val="000000"/>
          <w:sz w:val="22"/>
          <w:shd w:val="clear" w:color="auto" w:fill="FFFFFF"/>
        </w:rPr>
        <w:t xml:space="preserve"> </w:t>
      </w:r>
      <w:r w:rsidR="0050152D">
        <w:t>indica o ambiente de cloud específico de um determinado cliente para o Microsoft Defender para IoT.</w:t>
      </w:r>
      <w:r w:rsidR="0050152D">
        <w:rPr>
          <w:rStyle w:val="eop"/>
          <w:rFonts w:ascii="Calibri" w:hAnsi="Calibri" w:cs="Calibri"/>
          <w:color w:val="000000"/>
          <w:sz w:val="22"/>
          <w:shd w:val="clear" w:color="auto" w:fill="FFFFFF"/>
        </w:rPr>
        <w:t> </w:t>
      </w:r>
    </w:p>
    <w:p w14:paraId="63CE5A86" w14:textId="053152CA" w:rsidR="0050152D" w:rsidRDefault="00380305" w:rsidP="00F01ED6">
      <w:pPr>
        <w:pStyle w:val="ProductList-Body"/>
      </w:pPr>
      <w:r w:rsidRPr="00CB7596">
        <w:t>“</w:t>
      </w:r>
      <w:r w:rsidR="0050152D">
        <w:rPr>
          <w:b/>
          <w:color w:val="00188F"/>
        </w:rPr>
        <w:t>Percentagem de Período de Disponibilidade</w:t>
      </w:r>
      <w:r w:rsidRPr="00CB7596">
        <w:t>”</w:t>
      </w:r>
      <w:r w:rsidR="0050152D">
        <w:t xml:space="preserve"> O Período de Indisponibilidade é medido em minutos do utilizador. Ou seja, para um Período Aplicável, o Período de Indisponibilidade será a soma da duração (em minutos) de cada Incidente durante esse Período Aplicável, multiplicado pelo</w:t>
      </w:r>
      <w:r w:rsidR="00EF27AF">
        <w:t> </w:t>
      </w:r>
      <w:r w:rsidR="0050152D">
        <w:t>número de utilizadores afetados por esse Incidente. A Percentagem de Período de Disponibilidade é calculada através da seguinte fórmula:</w:t>
      </w:r>
    </w:p>
    <w:p w14:paraId="1E780031" w14:textId="77777777" w:rsidR="00DC1476" w:rsidRPr="00494F85" w:rsidRDefault="00DC1476" w:rsidP="00F01ED6">
      <w:pPr>
        <w:pStyle w:val="ProductList-Body"/>
        <w:rPr>
          <w:sz w:val="12"/>
          <w:szCs w:val="12"/>
        </w:rPr>
      </w:pPr>
    </w:p>
    <w:p w14:paraId="38A08E23" w14:textId="397D3EC7" w:rsidR="00591147" w:rsidRPr="00614354" w:rsidRDefault="00000000" w:rsidP="00593E9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98D8363" w14:textId="77777777" w:rsidR="00EC1B71" w:rsidRDefault="00EC1B71"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F01ED6">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F01ED6">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F01ED6">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F01ED6">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F01ED6">
            <w:pPr>
              <w:pStyle w:val="ProductList-OfferingBody"/>
              <w:jc w:val="center"/>
            </w:pPr>
            <w:r>
              <w:t>25%</w:t>
            </w:r>
          </w:p>
        </w:tc>
      </w:tr>
    </w:tbl>
    <w:p w14:paraId="03079824" w14:textId="77777777" w:rsidR="0064209D" w:rsidRPr="00494F85" w:rsidRDefault="0064209D" w:rsidP="00F01ED6">
      <w:pPr>
        <w:pStyle w:val="ProductList-Body"/>
        <w:rPr>
          <w:sz w:val="12"/>
          <w:szCs w:val="12"/>
        </w:rPr>
      </w:pPr>
    </w:p>
    <w:p w14:paraId="5071DA77" w14:textId="19FD1D3A" w:rsidR="00E15FC0" w:rsidRDefault="00F81546" w:rsidP="00F01ED6">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de Nível de Serviço</w:t>
      </w:r>
      <w:r w:rsidRPr="00473DD3">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aos componentes no local, tais como sensores e agentes de segurança.</w:t>
      </w:r>
    </w:p>
    <w:p w14:paraId="7CAC157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6F9ED" w14:textId="6EB05967" w:rsidR="003A16EB" w:rsidRPr="00EF7CF9" w:rsidRDefault="003A16EB" w:rsidP="00D6770D">
      <w:pPr>
        <w:pStyle w:val="ProductList-Offering2Heading"/>
        <w:keepNext/>
        <w:tabs>
          <w:tab w:val="clear" w:pos="360"/>
          <w:tab w:val="clear" w:pos="720"/>
          <w:tab w:val="clear" w:pos="1080"/>
        </w:tabs>
        <w:outlineLvl w:val="2"/>
      </w:pPr>
      <w:bookmarkStart w:id="428" w:name="_Toc182409742"/>
      <w:r>
        <w:t>Bing Maps Enterprise Platform</w:t>
      </w:r>
      <w:bookmarkEnd w:id="426"/>
      <w:bookmarkEnd w:id="428"/>
    </w:p>
    <w:p w14:paraId="6227B95F" w14:textId="50A804E6" w:rsidR="00515EF4" w:rsidRPr="0074049A" w:rsidRDefault="003A16EB"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021ACA66" w14:textId="77777777" w:rsidR="000B38CA" w:rsidRPr="00F643EA" w:rsidRDefault="000B38CA" w:rsidP="00F01ED6">
      <w:pPr>
        <w:pStyle w:val="ProductList-Body"/>
        <w:rPr>
          <w:sz w:val="12"/>
          <w:szCs w:val="12"/>
        </w:rPr>
      </w:pPr>
    </w:p>
    <w:p w14:paraId="332EF34F" w14:textId="4CD8429C" w:rsidR="003A16E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0953C7" w14:textId="77777777" w:rsidR="00515EF4" w:rsidRPr="00EF7CF9" w:rsidRDefault="00515EF4" w:rsidP="00F01ED6">
      <w:pPr>
        <w:pStyle w:val="ProductList-Body"/>
      </w:pPr>
    </w:p>
    <w:p w14:paraId="44E374EC" w14:textId="3737C997" w:rsidR="00515EF4" w:rsidRPr="00EF7CF9" w:rsidRDefault="00000000" w:rsidP="00593E9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3896EC6" w14:textId="5C58694F" w:rsidR="008E5959" w:rsidRDefault="00515EF4" w:rsidP="00F01ED6">
      <w:pPr>
        <w:pStyle w:val="ProductList-Body"/>
      </w:pPr>
      <w:r>
        <w:t>em que o Período de Indisponibilidade é medido como o número total de minutos durante o Período Aplicável quando os aspetos do Servidor estabelecidos acima estão indisponíveis.</w:t>
      </w:r>
    </w:p>
    <w:p w14:paraId="32D49427" w14:textId="77777777" w:rsidR="00AA43CF" w:rsidRPr="00EF7CF9" w:rsidRDefault="00AA43CF" w:rsidP="00F01ED6">
      <w:pPr>
        <w:pStyle w:val="ProductList-Body"/>
      </w:pPr>
    </w:p>
    <w:p w14:paraId="26174FF9" w14:textId="7B753AAA"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6A899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F01ED6">
            <w:pPr>
              <w:pStyle w:val="ProductList-OfferingBody"/>
              <w:jc w:val="center"/>
            </w:pPr>
            <w:r>
              <w:t>&lt; 99,9%</w:t>
            </w:r>
          </w:p>
        </w:tc>
        <w:tc>
          <w:tcPr>
            <w:tcW w:w="5400" w:type="dxa"/>
          </w:tcPr>
          <w:p w14:paraId="79F178DF" w14:textId="7F10E0CE" w:rsidR="00515EF4" w:rsidRPr="00EF7CF9" w:rsidRDefault="00515EF4" w:rsidP="00F01ED6">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F01ED6">
            <w:pPr>
              <w:pStyle w:val="ProductList-OfferingBody"/>
              <w:jc w:val="center"/>
            </w:pPr>
            <w:r>
              <w:t>&lt; 99%</w:t>
            </w:r>
          </w:p>
        </w:tc>
        <w:tc>
          <w:tcPr>
            <w:tcW w:w="5400" w:type="dxa"/>
          </w:tcPr>
          <w:p w14:paraId="4C2D0E02" w14:textId="661EED97" w:rsidR="00515EF4" w:rsidRPr="00EF7CF9" w:rsidRDefault="00515EF4" w:rsidP="00F01ED6">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F01ED6">
            <w:pPr>
              <w:pStyle w:val="ProductList-OfferingBody"/>
              <w:jc w:val="center"/>
            </w:pPr>
            <w:r>
              <w:t>&lt; 95%</w:t>
            </w:r>
          </w:p>
        </w:tc>
        <w:tc>
          <w:tcPr>
            <w:tcW w:w="5400" w:type="dxa"/>
          </w:tcPr>
          <w:p w14:paraId="67F575EA" w14:textId="0AACC5D0" w:rsidR="00515EF4" w:rsidRPr="00EF7CF9" w:rsidRDefault="00515EF4" w:rsidP="00F01ED6">
            <w:pPr>
              <w:pStyle w:val="ProductList-OfferingBody"/>
              <w:jc w:val="center"/>
            </w:pPr>
            <w:r>
              <w:t>100%</w:t>
            </w:r>
          </w:p>
        </w:tc>
      </w:tr>
    </w:tbl>
    <w:p w14:paraId="66593B86" w14:textId="77777777" w:rsidR="001E0407" w:rsidRPr="00494F85" w:rsidRDefault="001E0407" w:rsidP="00F01ED6">
      <w:pPr>
        <w:pStyle w:val="ProductList-Body"/>
        <w:rPr>
          <w:sz w:val="12"/>
          <w:szCs w:val="12"/>
        </w:rPr>
      </w:pPr>
    </w:p>
    <w:p w14:paraId="087D7891" w14:textId="25FE396F" w:rsidR="00515EF4" w:rsidRPr="00EF7CF9" w:rsidRDefault="00515EF4"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9219096" w14:textId="77777777" w:rsidR="00515EF4" w:rsidRPr="00F643EA" w:rsidRDefault="00515EF4" w:rsidP="00F01ED6">
      <w:pPr>
        <w:pStyle w:val="ProductList-Body"/>
        <w:rPr>
          <w:sz w:val="12"/>
          <w:szCs w:val="12"/>
        </w:rPr>
      </w:pPr>
    </w:p>
    <w:p w14:paraId="084D7DBE" w14:textId="56267753" w:rsidR="001E0407" w:rsidRPr="00EF7CF9" w:rsidRDefault="00515EF4" w:rsidP="00F01ED6">
      <w:pPr>
        <w:pStyle w:val="ProductList-Body"/>
      </w:pPr>
      <w:r>
        <w:t>Os Créditos de Serviço não serão aplicáveis se: (i) o Cliente não implementar quaisquer atualizações de Serviços durante o período especificado nos</w:t>
      </w:r>
      <w:r w:rsidR="000D5314">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0D5314">
        <w:t> </w:t>
      </w:r>
      <w:r>
        <w:t>50% ou mais em relação à utilização do Período Aplicável anterior.</w:t>
      </w:r>
    </w:p>
    <w:bookmarkStart w:id="429" w:name="_Toc413421605"/>
    <w:bookmarkStart w:id="430" w:name="_Toc457821593"/>
    <w:p w14:paraId="0A1F392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0B993D" w14:textId="77777777" w:rsidR="00FD7891" w:rsidRPr="00EF7CF9" w:rsidRDefault="00FD7891" w:rsidP="00F01ED6">
      <w:pPr>
        <w:pStyle w:val="ProductList-Offering2Heading"/>
        <w:keepNext/>
        <w:outlineLvl w:val="2"/>
      </w:pPr>
      <w:bookmarkStart w:id="431" w:name="_Toc182409743"/>
      <w:r>
        <w:t>Bing Maps Mobile Asset Management</w:t>
      </w:r>
      <w:bookmarkEnd w:id="429"/>
      <w:bookmarkEnd w:id="430"/>
      <w:bookmarkEnd w:id="431"/>
    </w:p>
    <w:p w14:paraId="65029C5D" w14:textId="606DEF1A" w:rsidR="00FD7891" w:rsidRPr="0074049A" w:rsidRDefault="00FD7891"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10C2AC36" w14:textId="7B6AEA68" w:rsidR="00FD7891"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5543F3" w14:textId="77777777" w:rsidR="00FD7891" w:rsidRPr="00593E99" w:rsidRDefault="00FD7891" w:rsidP="00F01ED6">
      <w:pPr>
        <w:pStyle w:val="ProductList-Body"/>
        <w:rPr>
          <w:sz w:val="12"/>
          <w:szCs w:val="12"/>
        </w:rPr>
      </w:pPr>
    </w:p>
    <w:p w14:paraId="3D1C7AD3" w14:textId="4077EA0B" w:rsidR="00FD7891" w:rsidRPr="00EF7CF9" w:rsidRDefault="00000000" w:rsidP="00593E9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08A0B750" w14:textId="3A875414" w:rsidR="00FD7891" w:rsidRDefault="00FD7891" w:rsidP="00F01ED6">
      <w:pPr>
        <w:pStyle w:val="ProductList-Body"/>
      </w:pPr>
      <w:r>
        <w:t>em que o Período de Indisponibilidade é medido como o número total de minutos durante o Período Aplicável quando os aspetos do Servidor estabelecidos acima estão indisponíveis.</w:t>
      </w:r>
    </w:p>
    <w:p w14:paraId="7BE34E3E" w14:textId="77777777" w:rsidR="00AA43CF" w:rsidRPr="00EF7CF9" w:rsidRDefault="00AA43CF" w:rsidP="00F01ED6">
      <w:pPr>
        <w:pStyle w:val="ProductList-Body"/>
      </w:pPr>
    </w:p>
    <w:p w14:paraId="152AABCC" w14:textId="6C944870" w:rsidR="00FD7891" w:rsidRPr="00EF7CF9" w:rsidRDefault="00FD7891"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FAF31B" w14:textId="77777777" w:rsidR="00FD7891" w:rsidRPr="00EF7CF9" w:rsidRDefault="00FD7891" w:rsidP="00F01ED6">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F01ED6">
            <w:pPr>
              <w:pStyle w:val="ProductList-OfferingBody"/>
              <w:jc w:val="center"/>
            </w:pPr>
            <w:r>
              <w:t>&lt; 99,9%</w:t>
            </w:r>
          </w:p>
        </w:tc>
        <w:tc>
          <w:tcPr>
            <w:tcW w:w="5400" w:type="dxa"/>
          </w:tcPr>
          <w:p w14:paraId="0AF0BF6E" w14:textId="77777777" w:rsidR="00FD7891" w:rsidRPr="00EF7CF9" w:rsidRDefault="00FD7891" w:rsidP="00F01ED6">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F01ED6">
            <w:pPr>
              <w:pStyle w:val="ProductList-OfferingBody"/>
              <w:jc w:val="center"/>
            </w:pPr>
            <w:r>
              <w:t>&lt; 99%</w:t>
            </w:r>
          </w:p>
        </w:tc>
        <w:tc>
          <w:tcPr>
            <w:tcW w:w="5400" w:type="dxa"/>
          </w:tcPr>
          <w:p w14:paraId="2042F0F2" w14:textId="77777777" w:rsidR="00FD7891" w:rsidRPr="00EF7CF9" w:rsidRDefault="00FD7891" w:rsidP="00F01ED6">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F01ED6">
            <w:pPr>
              <w:pStyle w:val="ProductList-OfferingBody"/>
              <w:jc w:val="center"/>
            </w:pPr>
            <w:r>
              <w:t>&lt; 95%</w:t>
            </w:r>
          </w:p>
        </w:tc>
        <w:tc>
          <w:tcPr>
            <w:tcW w:w="5400" w:type="dxa"/>
          </w:tcPr>
          <w:p w14:paraId="0BEE0BFC" w14:textId="77777777" w:rsidR="00FD7891" w:rsidRPr="00EF7CF9" w:rsidRDefault="00FD7891" w:rsidP="00F01ED6">
            <w:pPr>
              <w:pStyle w:val="ProductList-OfferingBody"/>
              <w:jc w:val="center"/>
            </w:pPr>
            <w:r>
              <w:t>100%</w:t>
            </w:r>
          </w:p>
        </w:tc>
      </w:tr>
    </w:tbl>
    <w:p w14:paraId="4AC7D937" w14:textId="77777777" w:rsidR="00FD7891" w:rsidRPr="00494F85" w:rsidRDefault="00FD7891" w:rsidP="00F01ED6">
      <w:pPr>
        <w:pStyle w:val="ProductList-Body"/>
        <w:rPr>
          <w:sz w:val="12"/>
          <w:szCs w:val="12"/>
        </w:rPr>
      </w:pPr>
    </w:p>
    <w:p w14:paraId="6FE4E46D" w14:textId="773326ED" w:rsidR="00FD7891" w:rsidRPr="00EF7CF9" w:rsidRDefault="00FD7891"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B8E2082" w14:textId="77777777" w:rsidR="0074049A" w:rsidRPr="00F643EA" w:rsidRDefault="0074049A" w:rsidP="00F01ED6">
      <w:pPr>
        <w:pStyle w:val="ProductList-Body"/>
        <w:rPr>
          <w:sz w:val="12"/>
          <w:szCs w:val="12"/>
        </w:rPr>
      </w:pPr>
    </w:p>
    <w:p w14:paraId="3F493427" w14:textId="7423D6AC" w:rsidR="00FD7891" w:rsidRPr="00EF7CF9" w:rsidRDefault="00FD7891" w:rsidP="00DC1476">
      <w:pPr>
        <w:pStyle w:val="ProductList-Body"/>
        <w:keepNext/>
        <w:keepLines/>
      </w:pPr>
      <w:r>
        <w:t>Os Créditos de Serviço não serão aplicáveis se: (i) o Cliente não implementar quaisquer atualizações de Serviços durante o período especificado nos</w:t>
      </w:r>
      <w:r w:rsidR="00D43685">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D43685">
        <w:t> </w:t>
      </w:r>
      <w:r>
        <w:t>50% ou mais em relação à utilização do Período Aplicável anterior.</w:t>
      </w:r>
    </w:p>
    <w:bookmarkStart w:id="432" w:name="Intune"/>
    <w:bookmarkStart w:id="433" w:name="PowerBIPro"/>
    <w:p w14:paraId="3BAFC07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15C4F" w14:textId="77777777" w:rsidR="00F06C94" w:rsidRPr="00EF7CF9" w:rsidRDefault="00F06C94" w:rsidP="00796E1C">
      <w:pPr>
        <w:pStyle w:val="ProductList-Offering2Heading"/>
        <w:keepNext/>
        <w:tabs>
          <w:tab w:val="clear" w:pos="360"/>
          <w:tab w:val="clear" w:pos="720"/>
          <w:tab w:val="clear" w:pos="1080"/>
        </w:tabs>
        <w:outlineLvl w:val="2"/>
      </w:pPr>
      <w:bookmarkStart w:id="434" w:name="_Toc182409744"/>
      <w:r>
        <w:t>Microsoft Cloud App Security</w:t>
      </w:r>
      <w:bookmarkEnd w:id="434"/>
    </w:p>
    <w:p w14:paraId="75FF14F8" w14:textId="5F93533E" w:rsidR="00F06C94" w:rsidRPr="007F2936" w:rsidRDefault="00F06C94" w:rsidP="00F01ED6">
      <w:pPr>
        <w:pStyle w:val="ProductList-Body"/>
        <w:rPr>
          <w:spacing w:val="-2"/>
        </w:rPr>
      </w:pPr>
      <w:r w:rsidRPr="007F2936">
        <w:rPr>
          <w:b/>
          <w:color w:val="00188F"/>
          <w:spacing w:val="-2"/>
        </w:rPr>
        <w:t>Período de Indisponibilidade:</w:t>
      </w:r>
      <w:r w:rsidRPr="007F2936">
        <w:rPr>
          <w:spacing w:val="-2"/>
        </w:rPr>
        <w:t xml:space="preserve"> 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4E621058" w14:textId="55CFFED2" w:rsidR="00F06C9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AD47FE4" w14:textId="77777777" w:rsidR="009E2B16" w:rsidRPr="00593E99" w:rsidRDefault="009E2B16" w:rsidP="00F01ED6">
      <w:pPr>
        <w:pStyle w:val="ProductList-Body"/>
        <w:rPr>
          <w:sz w:val="12"/>
          <w:szCs w:val="12"/>
        </w:rPr>
      </w:pPr>
    </w:p>
    <w:p w14:paraId="2319D5B0" w14:textId="56AD2689" w:rsidR="00F06C94" w:rsidRPr="009E2B16" w:rsidRDefault="00000000" w:rsidP="00593E99">
      <w:pPr>
        <w:spacing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Minutos de Utilizador - Período de Indisponibilidade</m:t>
              </m:r>
            </m:num>
            <m:den>
              <m:r>
                <m:rPr>
                  <m:nor/>
                </m:rPr>
                <w:rPr>
                  <w:rFonts w:ascii="Cambria Math" w:hAnsi="Cambria Math" w:cs="Calibri"/>
                  <w:i/>
                  <w:sz w:val="18"/>
                  <w:szCs w:val="18"/>
                </w:rPr>
                <m:t>Minutos de Utilizador</m:t>
              </m:r>
            </m:den>
          </m:f>
          <m:r>
            <w:rPr>
              <w:rFonts w:ascii="Cambria Math" w:hAnsi="Cambria Math" w:cs="Calibri"/>
              <w:sz w:val="18"/>
              <w:szCs w:val="18"/>
            </w:rPr>
            <m:t xml:space="preserve"> x 100</m:t>
          </m:r>
        </m:oMath>
      </m:oMathPara>
    </w:p>
    <w:p w14:paraId="563EA36A" w14:textId="03030F6F" w:rsidR="00F06C94"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C0FF97E" w14:textId="77777777" w:rsidR="00F06C94" w:rsidRPr="00AA43CF" w:rsidRDefault="00F06C94" w:rsidP="00F01ED6">
      <w:pPr>
        <w:pStyle w:val="ProductList-Body"/>
        <w:rPr>
          <w:szCs w:val="18"/>
        </w:rPr>
      </w:pPr>
    </w:p>
    <w:p w14:paraId="4BE32466" w14:textId="77777777" w:rsidR="00F06C94" w:rsidRPr="00EF7CF9" w:rsidRDefault="00F06C94"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F01ED6">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F01ED6">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F01ED6">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F01ED6">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F01ED6">
            <w:pPr>
              <w:pStyle w:val="ProductList-OfferingBody"/>
              <w:jc w:val="center"/>
            </w:pPr>
            <w:r>
              <w:t>25%</w:t>
            </w:r>
          </w:p>
        </w:tc>
      </w:tr>
    </w:tbl>
    <w:p w14:paraId="467D963B" w14:textId="77777777" w:rsidR="00F06C94" w:rsidRPr="00494F85" w:rsidRDefault="00F06C94" w:rsidP="00F01ED6">
      <w:pPr>
        <w:pStyle w:val="ProductList-Body"/>
        <w:rPr>
          <w:sz w:val="12"/>
          <w:szCs w:val="12"/>
        </w:rPr>
      </w:pPr>
    </w:p>
    <w:p w14:paraId="5AF92A53" w14:textId="388987C2" w:rsidR="00F06C94" w:rsidRPr="00EF7CF9" w:rsidRDefault="00F06C94" w:rsidP="00F01ED6">
      <w:pPr>
        <w:pStyle w:val="ProductList-Body"/>
        <w:spacing w:after="40"/>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6415DD">
        <w:t> </w:t>
      </w:r>
      <w:r>
        <w:t>serviços baseados na Internet (excluindo Microsoft Cloud App Security) que forneçam atualizações através da API (interface de programação de</w:t>
      </w:r>
      <w:r w:rsidR="006415DD">
        <w:t> </w:t>
      </w:r>
      <w:r>
        <w:t>aplicações) a quaisquer serviços licenciado como parte da subscrição do Serviço.</w:t>
      </w:r>
    </w:p>
    <w:p w14:paraId="1FF7B0B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A85610C" w14:textId="2D1DD28A" w:rsidR="005C2F5C" w:rsidRPr="00EF7CF9" w:rsidRDefault="005C2F5C" w:rsidP="00F01ED6">
      <w:pPr>
        <w:pStyle w:val="ProductList-Offering2Heading"/>
        <w:tabs>
          <w:tab w:val="clear" w:pos="360"/>
          <w:tab w:val="clear" w:pos="720"/>
          <w:tab w:val="clear" w:pos="1080"/>
        </w:tabs>
        <w:outlineLvl w:val="2"/>
      </w:pPr>
      <w:bookmarkStart w:id="435" w:name="_Toc182409745"/>
      <w:r>
        <w:t>Microsoft Power Automate</w:t>
      </w:r>
      <w:bookmarkEnd w:id="435"/>
    </w:p>
    <w:p w14:paraId="49E8FEB2" w14:textId="5E66464B"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em que os fluxos dos utilizadores não têm conectividade ao gateway para a Internet da</w:t>
      </w:r>
      <w:r w:rsidR="0074049A">
        <w:rPr>
          <w:szCs w:val="18"/>
        </w:rPr>
        <w:t> </w:t>
      </w:r>
      <w:r>
        <w:rPr>
          <w:szCs w:val="18"/>
        </w:rPr>
        <w:t>Microsoft.</w:t>
      </w:r>
    </w:p>
    <w:p w14:paraId="666A64CA" w14:textId="402497D7"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AA97E04" w14:textId="77777777" w:rsidR="005C2F5C" w:rsidRPr="00593E99" w:rsidRDefault="005C2F5C" w:rsidP="00F01ED6">
      <w:pPr>
        <w:pStyle w:val="ProductList-Body"/>
        <w:rPr>
          <w:sz w:val="12"/>
          <w:szCs w:val="12"/>
        </w:rPr>
      </w:pPr>
    </w:p>
    <w:p w14:paraId="735410C1" w14:textId="49E92E2F" w:rsidR="005C2F5C" w:rsidRPr="00EF7CF9" w:rsidRDefault="00000000" w:rsidP="00593E9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B13A9E1" w14:textId="32A264BA" w:rsidR="005C2F5C"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8235451" w14:textId="77777777" w:rsidR="005C2F5C" w:rsidRPr="00EF7CF9" w:rsidRDefault="005C2F5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D9692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F01ED6">
            <w:pPr>
              <w:pStyle w:val="ProductList-OfferingBody"/>
              <w:jc w:val="center"/>
            </w:pPr>
            <w:r>
              <w:t>&lt; 99,9%</w:t>
            </w:r>
          </w:p>
        </w:tc>
        <w:tc>
          <w:tcPr>
            <w:tcW w:w="5400" w:type="dxa"/>
          </w:tcPr>
          <w:p w14:paraId="3BDCE0EB" w14:textId="77777777" w:rsidR="005C2F5C" w:rsidRPr="00EF7CF9" w:rsidRDefault="005C2F5C" w:rsidP="00F01ED6">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F01ED6">
            <w:pPr>
              <w:pStyle w:val="ProductList-OfferingBody"/>
              <w:jc w:val="center"/>
            </w:pPr>
            <w:r>
              <w:t>&lt; 99%</w:t>
            </w:r>
          </w:p>
        </w:tc>
        <w:tc>
          <w:tcPr>
            <w:tcW w:w="5400" w:type="dxa"/>
          </w:tcPr>
          <w:p w14:paraId="23DBD8BB" w14:textId="77777777" w:rsidR="005C2F5C" w:rsidRPr="00EF7CF9" w:rsidRDefault="005C2F5C" w:rsidP="00F01ED6">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F01ED6">
            <w:pPr>
              <w:pStyle w:val="ProductList-OfferingBody"/>
              <w:jc w:val="center"/>
            </w:pPr>
            <w:r>
              <w:t>&lt; 95%</w:t>
            </w:r>
          </w:p>
        </w:tc>
        <w:tc>
          <w:tcPr>
            <w:tcW w:w="5400" w:type="dxa"/>
          </w:tcPr>
          <w:p w14:paraId="7055748A" w14:textId="77777777" w:rsidR="005C2F5C" w:rsidRPr="00EF7CF9" w:rsidRDefault="005C2F5C" w:rsidP="00F01ED6">
            <w:pPr>
              <w:pStyle w:val="ProductList-OfferingBody"/>
              <w:jc w:val="center"/>
            </w:pPr>
            <w:r>
              <w:t>100%</w:t>
            </w:r>
          </w:p>
        </w:tc>
      </w:tr>
    </w:tbl>
    <w:p w14:paraId="3CE8FC5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57EA08" w14:textId="77E43051" w:rsidR="00C22AAF" w:rsidRPr="00EF7CF9" w:rsidRDefault="00C22AAF" w:rsidP="00C22AAF">
      <w:pPr>
        <w:pStyle w:val="ProductList-Offering2Heading"/>
        <w:tabs>
          <w:tab w:val="clear" w:pos="360"/>
          <w:tab w:val="clear" w:pos="720"/>
          <w:tab w:val="clear" w:pos="1080"/>
        </w:tabs>
        <w:outlineLvl w:val="2"/>
      </w:pPr>
      <w:bookmarkStart w:id="436" w:name="_Toc182409746"/>
      <w:r>
        <w:t>Microsoft Power Pages</w:t>
      </w:r>
      <w:bookmarkEnd w:id="436"/>
    </w:p>
    <w:p w14:paraId="0679D084"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color w:val="242424"/>
          <w:sz w:val="18"/>
          <w:szCs w:val="18"/>
          <w:bdr w:val="none" w:sz="0" w:space="0" w:color="auto" w:frame="1"/>
        </w:rPr>
        <w:t>Este SLA é aplicável ao Web site do utilizador final que é publicado através do Power Pages se forem cumpridos os seguintes critérios: o site deve estar em modo de produção, ter a visibilidade do site definida como pública e estar associado a um ambiente de produção.</w:t>
      </w:r>
    </w:p>
    <w:p w14:paraId="0A411A1E"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Definições Adicionais:</w:t>
      </w:r>
    </w:p>
    <w:p w14:paraId="7E93B348"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“Total de Pedidos do Web Site”</w:t>
      </w:r>
      <w:r w:rsidRPr="00AF563D">
        <w:rPr>
          <w:rFonts w:eastAsia="Times New Roman" w:cstheme="minorHAnsi"/>
          <w:color w:val="000000"/>
          <w:sz w:val="18"/>
          <w:szCs w:val="18"/>
          <w:bdr w:val="none" w:sz="0" w:space="0" w:color="auto" w:frame="1"/>
        </w:rPr>
        <w:t xml:space="preserve"> designa o número total de pedidos do Web site feitos pelos utilizadores finais autorizados (autenticados ou anónimos) para um Web site do Power Pages durante um Período Aplicável.</w:t>
      </w:r>
    </w:p>
    <w:p w14:paraId="0351CED1"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“Pedidos do Web Site com Falhas”</w:t>
      </w:r>
      <w:r w:rsidRPr="00AF563D">
        <w:rPr>
          <w:rFonts w:eastAsia="Times New Roman" w:cstheme="minorHAnsi"/>
          <w:color w:val="000000"/>
          <w:sz w:val="18"/>
          <w:szCs w:val="18"/>
          <w:bdr w:val="none" w:sz="0" w:space="0" w:color="auto" w:frame="1"/>
        </w:rPr>
        <w:t> designa o número total de pedidos entre o Total de Pedidos do Web Site para os quais o Power Pages envia uma resposta de erro devido a um erro de sistema no Power Pages. Os erros de utilizadores, os problemas devido a um licenciamento inadequado ou os erros que resultam da configuração ou da personalização do cliente não estão incluídos nos Pedidos do Web Site com Falhas.</w:t>
      </w:r>
    </w:p>
    <w:p w14:paraId="32EFA9B3" w14:textId="77777777" w:rsidR="00AF563D" w:rsidRPr="00AF563D" w:rsidRDefault="00AF563D" w:rsidP="00AF563D">
      <w:pPr>
        <w:shd w:val="clear" w:color="auto" w:fill="FFFFFF"/>
        <w:spacing w:after="0" w:line="240" w:lineRule="auto"/>
        <w:rPr>
          <w:rFonts w:eastAsia="Times New Roman" w:cstheme="minorHAnsi"/>
          <w:color w:val="242424"/>
          <w:sz w:val="18"/>
          <w:szCs w:val="18"/>
          <w:bdr w:val="none" w:sz="0" w:space="0" w:color="auto" w:frame="1"/>
        </w:rPr>
      </w:pPr>
      <w:r w:rsidRPr="00AF563D">
        <w:rPr>
          <w:rFonts w:eastAsia="Times New Roman" w:cstheme="minorHAnsi"/>
          <w:b/>
          <w:bCs/>
          <w:color w:val="00188F"/>
          <w:sz w:val="18"/>
          <w:szCs w:val="18"/>
          <w:bdr w:val="none" w:sz="0" w:space="0" w:color="auto" w:frame="1"/>
        </w:rPr>
        <w:t>Percentagem de Período de Disponibilidade:</w:t>
      </w:r>
      <w:r w:rsidRPr="00AF563D">
        <w:rPr>
          <w:rFonts w:eastAsia="Times New Roman" w:cstheme="minorHAnsi"/>
          <w:color w:val="242424"/>
          <w:sz w:val="18"/>
          <w:szCs w:val="18"/>
          <w:bdr w:val="none" w:sz="0" w:space="0" w:color="auto" w:frame="1"/>
        </w:rPr>
        <w:t xml:space="preserve"> A Percentagem de Período de Disponibilidade é calculada através da seguinte fórmula:</w:t>
      </w:r>
    </w:p>
    <w:p w14:paraId="2F4E0C79" w14:textId="77777777" w:rsidR="00AF563D" w:rsidRPr="00F8560A" w:rsidRDefault="00AF563D" w:rsidP="00AF563D">
      <w:pPr>
        <w:shd w:val="clear" w:color="auto" w:fill="FFFFFF"/>
        <w:spacing w:after="0" w:line="240" w:lineRule="auto"/>
        <w:rPr>
          <w:rFonts w:ascii="Calibri" w:eastAsia="Times New Roman" w:hAnsi="Calibri" w:cs="Calibri"/>
          <w:color w:val="242424"/>
          <w:sz w:val="18"/>
          <w:szCs w:val="18"/>
          <w:bdr w:val="none" w:sz="0" w:space="0" w:color="auto" w:frame="1"/>
        </w:rPr>
      </w:pPr>
    </w:p>
    <w:p w14:paraId="60414CA1" w14:textId="77777777" w:rsidR="00AF563D" w:rsidRPr="00F8560A" w:rsidRDefault="00000000" w:rsidP="00AF563D">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 de Pedidos do Web Site-Pedidos do Web Site com Falhas</m:t>
              </m:r>
            </m:num>
            <m:den>
              <m:r>
                <w:rPr>
                  <w:rFonts w:ascii="Cambria Math" w:eastAsia="Calibri" w:hAnsi="Cambria Math" w:cs="Calibri"/>
                  <w:sz w:val="18"/>
                  <w:szCs w:val="18"/>
                </w:rPr>
                <m:t>Total de Pedidos de Web Sites</m:t>
              </m:r>
            </m:den>
          </m:f>
          <m:r>
            <w:rPr>
              <w:rFonts w:ascii="Cambria Math" w:eastAsia="Calibri" w:hAnsi="Cambria Math" w:cs="Calibri"/>
              <w:sz w:val="18"/>
              <w:szCs w:val="18"/>
            </w:rPr>
            <m:t xml:space="preserve"> x 100</m:t>
          </m:r>
        </m:oMath>
      </m:oMathPara>
    </w:p>
    <w:p w14:paraId="2556FB3A" w14:textId="77777777" w:rsidR="006D5705" w:rsidRDefault="006D5705" w:rsidP="00AF563D">
      <w:pPr>
        <w:shd w:val="clear" w:color="auto" w:fill="FFFFFF"/>
        <w:spacing w:after="0" w:line="240" w:lineRule="auto"/>
        <w:rPr>
          <w:rFonts w:eastAsia="Times New Roman" w:cstheme="minorHAnsi"/>
          <w:b/>
          <w:bCs/>
          <w:color w:val="00188F"/>
          <w:sz w:val="18"/>
          <w:szCs w:val="18"/>
          <w:bdr w:val="none" w:sz="0" w:space="0" w:color="auto" w:frame="1"/>
        </w:rPr>
      </w:pPr>
    </w:p>
    <w:p w14:paraId="752C7655" w14:textId="166E6CF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563D" w:rsidRPr="00F8560A" w14:paraId="4B79FBAD" w14:textId="77777777" w:rsidTr="00EA2F1A">
        <w:trPr>
          <w:tblHeader/>
        </w:trPr>
        <w:tc>
          <w:tcPr>
            <w:tcW w:w="5400" w:type="dxa"/>
            <w:shd w:val="clear" w:color="auto" w:fill="0072C6"/>
          </w:tcPr>
          <w:p w14:paraId="45C4A45F"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Percentagem de Período de Disponibilidade</w:t>
            </w:r>
          </w:p>
        </w:tc>
        <w:tc>
          <w:tcPr>
            <w:tcW w:w="5400" w:type="dxa"/>
            <w:shd w:val="clear" w:color="auto" w:fill="0072C6"/>
          </w:tcPr>
          <w:p w14:paraId="23E2B657"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Crédito de Serviço</w:t>
            </w:r>
          </w:p>
        </w:tc>
      </w:tr>
      <w:tr w:rsidR="00AF563D" w:rsidRPr="00F8560A" w14:paraId="2BB23337" w14:textId="77777777" w:rsidTr="00EA2F1A">
        <w:tc>
          <w:tcPr>
            <w:tcW w:w="5400" w:type="dxa"/>
          </w:tcPr>
          <w:p w14:paraId="21B8EE0C"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&lt; 99,9%</w:t>
            </w:r>
          </w:p>
        </w:tc>
        <w:tc>
          <w:tcPr>
            <w:tcW w:w="5400" w:type="dxa"/>
          </w:tcPr>
          <w:p w14:paraId="4E90FFCD"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10%</w:t>
            </w:r>
          </w:p>
        </w:tc>
      </w:tr>
    </w:tbl>
    <w:p w14:paraId="471C36B5" w14:textId="77777777" w:rsidR="00AF563D" w:rsidRPr="00EF7CF9" w:rsidRDefault="00AF563D" w:rsidP="00AF56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A652E1" w14:textId="76735D7E" w:rsidR="00040759" w:rsidRPr="00EF7CF9" w:rsidRDefault="00040759" w:rsidP="00BC65E9">
      <w:pPr>
        <w:pStyle w:val="ProductList-Offering2Heading"/>
        <w:keepNext/>
        <w:tabs>
          <w:tab w:val="clear" w:pos="360"/>
          <w:tab w:val="clear" w:pos="720"/>
          <w:tab w:val="clear" w:pos="1080"/>
        </w:tabs>
        <w:outlineLvl w:val="2"/>
      </w:pPr>
      <w:bookmarkStart w:id="437" w:name="_Toc182409747"/>
      <w:r>
        <w:t>Microsoft Intune</w:t>
      </w:r>
      <w:bookmarkEnd w:id="432"/>
      <w:bookmarkEnd w:id="437"/>
    </w:p>
    <w:p w14:paraId="40C62B19" w14:textId="77445B94" w:rsidR="00040759" w:rsidRPr="0074049A" w:rsidRDefault="00040759"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w:t>
      </w:r>
      <w:r w:rsidRPr="0074049A">
        <w:rPr>
          <w:spacing w:val="-3"/>
          <w:szCs w:val="18"/>
        </w:rPr>
        <w:t>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26A518D2" w14:textId="675F9BA8" w:rsidR="00040759"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6B5F24E" w14:textId="77777777" w:rsidR="00040759" w:rsidRPr="00DC1476" w:rsidRDefault="00040759" w:rsidP="00F01ED6">
      <w:pPr>
        <w:pStyle w:val="ProductList-Body"/>
        <w:keepNext/>
        <w:rPr>
          <w:szCs w:val="18"/>
        </w:rPr>
      </w:pPr>
    </w:p>
    <w:p w14:paraId="2D1D4ECA" w14:textId="1722D0B6" w:rsidR="00040759" w:rsidRPr="00EF7CF9" w:rsidRDefault="00000000"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864548D" w14:textId="0222B506" w:rsidR="0004075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B483C75" w14:textId="77777777" w:rsidR="00AA43CF" w:rsidRPr="00EF7CF9" w:rsidRDefault="00AA43CF" w:rsidP="00F01ED6">
      <w:pPr>
        <w:pStyle w:val="ProductList-Body"/>
        <w:ind w:right="153"/>
      </w:pPr>
    </w:p>
    <w:p w14:paraId="29DA534D" w14:textId="3B9D6918" w:rsidR="00040759" w:rsidRPr="00EF7CF9" w:rsidRDefault="0004075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733245B" w14:textId="77777777" w:rsidR="00040759" w:rsidRPr="00EF7CF9" w:rsidRDefault="00040759" w:rsidP="00F01ED6">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F01ED6">
            <w:pPr>
              <w:pStyle w:val="ProductList-OfferingBody"/>
              <w:jc w:val="center"/>
            </w:pPr>
            <w:r>
              <w:t>&lt; 99,9%</w:t>
            </w:r>
          </w:p>
        </w:tc>
        <w:tc>
          <w:tcPr>
            <w:tcW w:w="5400" w:type="dxa"/>
          </w:tcPr>
          <w:p w14:paraId="0127DF9D" w14:textId="77777777" w:rsidR="00040759" w:rsidRPr="00EF7CF9" w:rsidRDefault="00040759" w:rsidP="00F01ED6">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F01ED6">
            <w:pPr>
              <w:pStyle w:val="ProductList-OfferingBody"/>
              <w:jc w:val="center"/>
            </w:pPr>
            <w:r>
              <w:t>&lt; 99%</w:t>
            </w:r>
          </w:p>
        </w:tc>
        <w:tc>
          <w:tcPr>
            <w:tcW w:w="5400" w:type="dxa"/>
          </w:tcPr>
          <w:p w14:paraId="0E80EF14" w14:textId="77777777" w:rsidR="00040759" w:rsidRPr="00EF7CF9" w:rsidRDefault="00040759" w:rsidP="00F01ED6">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F01ED6">
            <w:pPr>
              <w:pStyle w:val="ProductList-OfferingBody"/>
              <w:jc w:val="center"/>
            </w:pPr>
            <w:r>
              <w:t>&lt; 95%</w:t>
            </w:r>
          </w:p>
        </w:tc>
        <w:tc>
          <w:tcPr>
            <w:tcW w:w="5400" w:type="dxa"/>
          </w:tcPr>
          <w:p w14:paraId="6EC1209C" w14:textId="77777777" w:rsidR="00040759" w:rsidRPr="00EF7CF9" w:rsidRDefault="00040759" w:rsidP="00F01ED6">
            <w:pPr>
              <w:pStyle w:val="ProductList-OfferingBody"/>
              <w:jc w:val="center"/>
            </w:pPr>
            <w:r>
              <w:t>100%</w:t>
            </w:r>
          </w:p>
        </w:tc>
      </w:tr>
    </w:tbl>
    <w:p w14:paraId="4699F220" w14:textId="77777777" w:rsidR="00040759" w:rsidRPr="00494F85" w:rsidRDefault="00040759" w:rsidP="00F01ED6">
      <w:pPr>
        <w:pStyle w:val="ProductList-Body"/>
        <w:rPr>
          <w:sz w:val="12"/>
          <w:szCs w:val="12"/>
        </w:rPr>
      </w:pPr>
    </w:p>
    <w:p w14:paraId="1AEA814F" w14:textId="3785A2AB" w:rsidR="00040759" w:rsidRPr="00EF7CF9" w:rsidRDefault="00040759" w:rsidP="00F01ED6">
      <w:pPr>
        <w:pStyle w:val="ProductList-Body"/>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146E03">
        <w:t> </w:t>
      </w:r>
      <w:r>
        <w:t>serviços baseados na Internet (excluindo o Serviço do Microsoft Intune) que forneçam atualizações a qualquer software no local licenciado como parte da subscrição do Serviço.</w:t>
      </w:r>
    </w:p>
    <w:p w14:paraId="5325FF1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C0C7EA3" w14:textId="5A5ED172" w:rsidR="00B4740C" w:rsidRPr="00EF7CF9" w:rsidRDefault="00B4740C" w:rsidP="00F01ED6">
      <w:pPr>
        <w:pStyle w:val="ProductList-Offering2Heading"/>
        <w:keepNext/>
        <w:outlineLvl w:val="2"/>
      </w:pPr>
      <w:bookmarkStart w:id="438" w:name="_Toc182409748"/>
      <w:r>
        <w:t>Microsoft Kaizala Pro</w:t>
      </w:r>
      <w:bookmarkEnd w:id="438"/>
    </w:p>
    <w:p w14:paraId="4662FA79" w14:textId="291BF666" w:rsidR="00B4740C" w:rsidRPr="00EF7CF9" w:rsidRDefault="008835A9"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publicar uma mensagem nos grupos das organizações para os quais têm as permissões adequadas.</w:t>
      </w:r>
    </w:p>
    <w:p w14:paraId="69788DFB" w14:textId="49F29779" w:rsidR="00B4740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0EBBA96" w14:textId="77777777" w:rsidR="00B4740C" w:rsidRPr="00DC1476" w:rsidRDefault="00B4740C" w:rsidP="00F01ED6">
      <w:pPr>
        <w:pStyle w:val="ProductList-Body"/>
        <w:rPr>
          <w:szCs w:val="18"/>
        </w:rPr>
      </w:pPr>
    </w:p>
    <w:p w14:paraId="7E61F59D" w14:textId="41C374A0" w:rsidR="00B4740C" w:rsidRPr="00EF7CF9" w:rsidRDefault="00000000"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F18822C" w14:textId="60BC009E" w:rsidR="00B4740C"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EEDCC5E" w14:textId="6C502919" w:rsidR="00B4740C" w:rsidRPr="00EF7CF9" w:rsidRDefault="00B474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008F05" w14:textId="77777777" w:rsidR="00B4740C" w:rsidRPr="00EF7CF9" w:rsidRDefault="00B4740C" w:rsidP="00F01ED6">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F01ED6">
            <w:pPr>
              <w:pStyle w:val="ProductList-OfferingBody"/>
              <w:jc w:val="center"/>
            </w:pPr>
            <w:r>
              <w:t>&lt; 99,9%</w:t>
            </w:r>
          </w:p>
        </w:tc>
        <w:tc>
          <w:tcPr>
            <w:tcW w:w="5400" w:type="dxa"/>
          </w:tcPr>
          <w:p w14:paraId="42B1F6F3" w14:textId="77777777" w:rsidR="00B4740C" w:rsidRPr="00EF7CF9" w:rsidRDefault="00B4740C" w:rsidP="00F01ED6">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F01ED6">
            <w:pPr>
              <w:pStyle w:val="ProductList-OfferingBody"/>
              <w:jc w:val="center"/>
            </w:pPr>
            <w:r>
              <w:t>&lt; 99%</w:t>
            </w:r>
          </w:p>
        </w:tc>
        <w:tc>
          <w:tcPr>
            <w:tcW w:w="5400" w:type="dxa"/>
          </w:tcPr>
          <w:p w14:paraId="36B5824F" w14:textId="77777777" w:rsidR="00B4740C" w:rsidRPr="00EF7CF9" w:rsidRDefault="00B4740C" w:rsidP="00F01ED6">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F01ED6">
            <w:pPr>
              <w:pStyle w:val="ProductList-OfferingBody"/>
              <w:jc w:val="center"/>
            </w:pPr>
            <w:r>
              <w:t>&lt; 95%</w:t>
            </w:r>
          </w:p>
        </w:tc>
        <w:tc>
          <w:tcPr>
            <w:tcW w:w="5400" w:type="dxa"/>
          </w:tcPr>
          <w:p w14:paraId="6DC66DA2" w14:textId="77777777" w:rsidR="00B4740C" w:rsidRPr="00EF7CF9" w:rsidRDefault="00B4740C" w:rsidP="00F01ED6">
            <w:pPr>
              <w:pStyle w:val="ProductList-OfferingBody"/>
              <w:jc w:val="center"/>
            </w:pPr>
            <w:r>
              <w:t>100%</w:t>
            </w:r>
          </w:p>
        </w:tc>
      </w:tr>
    </w:tbl>
    <w:p w14:paraId="6DD3E62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1AF830" w14:textId="0C931E1D" w:rsidR="005C2F5C" w:rsidRPr="00EF7CF9" w:rsidRDefault="005C2F5C" w:rsidP="00D6770D">
      <w:pPr>
        <w:pStyle w:val="ProductList-Offering2Heading"/>
        <w:keepNext/>
        <w:tabs>
          <w:tab w:val="clear" w:pos="360"/>
          <w:tab w:val="clear" w:pos="720"/>
          <w:tab w:val="clear" w:pos="1080"/>
        </w:tabs>
        <w:outlineLvl w:val="2"/>
      </w:pPr>
      <w:bookmarkStart w:id="439" w:name="_Toc182409749"/>
      <w:r>
        <w:t>Microsoft Power Apps</w:t>
      </w:r>
      <w:bookmarkEnd w:id="439"/>
    </w:p>
    <w:p w14:paraId="5CE1D2EF" w14:textId="231BF3A3"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dos dados no Microsoft Power Apps para os quais têm permissões adequadas.</w:t>
      </w:r>
    </w:p>
    <w:p w14:paraId="55599CC6" w14:textId="23D6BB75"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9E03DAE" w14:textId="77777777" w:rsidR="005C2F5C" w:rsidRPr="002134AE" w:rsidRDefault="005C2F5C" w:rsidP="00F01ED6">
      <w:pPr>
        <w:pStyle w:val="ProductList-Body"/>
        <w:rPr>
          <w:sz w:val="12"/>
          <w:szCs w:val="12"/>
        </w:rPr>
      </w:pPr>
    </w:p>
    <w:p w14:paraId="5AAB2FAD" w14:textId="21AF1844" w:rsidR="005C2F5C" w:rsidRPr="00EF7CF9" w:rsidRDefault="00000000"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450D62A" w14:textId="27465AEE" w:rsidR="005C2F5C"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A30C61F" w14:textId="77777777" w:rsidR="00AA43CF" w:rsidRPr="00EF7CF9" w:rsidRDefault="00AA43CF" w:rsidP="00F01ED6">
      <w:pPr>
        <w:pStyle w:val="ProductList-Body"/>
        <w:ind w:right="135"/>
      </w:pPr>
    </w:p>
    <w:p w14:paraId="7568F746" w14:textId="77777777" w:rsidR="005C2F5C" w:rsidRPr="00EF7CF9" w:rsidRDefault="005C2F5C"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2AAB71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F01ED6">
            <w:pPr>
              <w:pStyle w:val="ProductList-OfferingBody"/>
              <w:jc w:val="center"/>
            </w:pPr>
            <w:r>
              <w:t>&lt; 99,9%</w:t>
            </w:r>
          </w:p>
        </w:tc>
        <w:tc>
          <w:tcPr>
            <w:tcW w:w="5400" w:type="dxa"/>
          </w:tcPr>
          <w:p w14:paraId="66DD7CC4" w14:textId="77777777" w:rsidR="005C2F5C" w:rsidRPr="00EF7CF9" w:rsidRDefault="005C2F5C" w:rsidP="00F01ED6">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F01ED6">
            <w:pPr>
              <w:pStyle w:val="ProductList-OfferingBody"/>
              <w:jc w:val="center"/>
            </w:pPr>
            <w:r>
              <w:t>&lt; 99%</w:t>
            </w:r>
          </w:p>
        </w:tc>
        <w:tc>
          <w:tcPr>
            <w:tcW w:w="5400" w:type="dxa"/>
          </w:tcPr>
          <w:p w14:paraId="3D07B2D8" w14:textId="77777777" w:rsidR="005C2F5C" w:rsidRPr="00EF7CF9" w:rsidRDefault="005C2F5C" w:rsidP="00F01ED6">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F01ED6">
            <w:pPr>
              <w:pStyle w:val="ProductList-OfferingBody"/>
              <w:jc w:val="center"/>
            </w:pPr>
            <w:r>
              <w:t>&lt; 95%</w:t>
            </w:r>
          </w:p>
        </w:tc>
        <w:tc>
          <w:tcPr>
            <w:tcW w:w="5400" w:type="dxa"/>
          </w:tcPr>
          <w:p w14:paraId="69ECA17B" w14:textId="77777777" w:rsidR="005C2F5C" w:rsidRPr="00EF7CF9" w:rsidRDefault="005C2F5C" w:rsidP="00F01ED6">
            <w:pPr>
              <w:pStyle w:val="ProductList-OfferingBody"/>
              <w:jc w:val="center"/>
            </w:pPr>
            <w:r>
              <w:t>100%</w:t>
            </w:r>
          </w:p>
        </w:tc>
      </w:tr>
    </w:tbl>
    <w:bookmarkStart w:id="440" w:name="_Toc34826924"/>
    <w:p w14:paraId="4BA6A2F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0E9B8B" w14:textId="63A5BA6C" w:rsidR="00BF3499" w:rsidRPr="009B10D0" w:rsidRDefault="00BF3499" w:rsidP="006D5705">
      <w:pPr>
        <w:pStyle w:val="ProductList-Offering2Heading"/>
        <w:tabs>
          <w:tab w:val="clear" w:pos="360"/>
          <w:tab w:val="clear" w:pos="720"/>
          <w:tab w:val="clear" w:pos="1080"/>
        </w:tabs>
        <w:outlineLvl w:val="2"/>
      </w:pPr>
      <w:bookmarkStart w:id="441" w:name="_Toc182409750"/>
      <w:r w:rsidRPr="009B10D0">
        <w:t xml:space="preserve">Microsoft </w:t>
      </w:r>
      <w:bookmarkEnd w:id="440"/>
      <w:r w:rsidR="009B10D0" w:rsidRPr="009B10D0">
        <w:t>Copilot Studio</w:t>
      </w:r>
      <w:bookmarkEnd w:id="441"/>
    </w:p>
    <w:p w14:paraId="64720E1E" w14:textId="77777777" w:rsidR="00BF3499" w:rsidRPr="00CB7596" w:rsidRDefault="00BF3499" w:rsidP="00F01ED6">
      <w:pPr>
        <w:shd w:val="clear" w:color="auto" w:fill="FFFFFF"/>
        <w:spacing w:after="0" w:line="240" w:lineRule="auto"/>
        <w:rPr>
          <w:rFonts w:ascii="Calibri" w:eastAsia="Calibri" w:hAnsi="Calibri" w:cs="Arial"/>
          <w:b/>
          <w:color w:val="00188F"/>
          <w:sz w:val="18"/>
          <w:szCs w:val="18"/>
        </w:rPr>
      </w:pPr>
      <w:r w:rsidRPr="00CB7596">
        <w:rPr>
          <w:rFonts w:ascii="Calibri" w:eastAsia="Calibri" w:hAnsi="Calibri" w:cs="Arial"/>
          <w:b/>
          <w:color w:val="00188F"/>
          <w:sz w:val="18"/>
          <w:szCs w:val="18"/>
        </w:rPr>
        <w:t xml:space="preserve">Definições Adicionais: </w:t>
      </w:r>
    </w:p>
    <w:p w14:paraId="06948106" w14:textId="0E5EACD6" w:rsidR="00BF3499" w:rsidRPr="00CB7596" w:rsidRDefault="00380305" w:rsidP="00F01ED6">
      <w:pPr>
        <w:shd w:val="clear" w:color="auto" w:fill="FFFFFF"/>
        <w:spacing w:after="0" w:line="240" w:lineRule="auto"/>
        <w:jc w:val="both"/>
        <w:rPr>
          <w:rFonts w:ascii="Calibri" w:eastAsia="Calibri" w:hAnsi="Calibri" w:cs="Arial"/>
          <w:spacing w:val="-3"/>
          <w:sz w:val="18"/>
          <w:szCs w:val="18"/>
        </w:rPr>
      </w:pPr>
      <w:r w:rsidRPr="00CB7596">
        <w:rPr>
          <w:sz w:val="18"/>
          <w:szCs w:val="18"/>
        </w:rPr>
        <w:t>“</w:t>
      </w:r>
      <w:r w:rsidR="00BF3499" w:rsidRPr="00CB7596">
        <w:rPr>
          <w:rFonts w:ascii="Calibri" w:eastAsia="Calibri" w:hAnsi="Calibri" w:cs="Arial"/>
          <w:b/>
          <w:color w:val="00188F"/>
          <w:spacing w:val="-3"/>
          <w:sz w:val="18"/>
          <w:szCs w:val="18"/>
        </w:rPr>
        <w:t>Total de Pedidos de Mensagens</w:t>
      </w:r>
      <w:r w:rsidRPr="00CB7596">
        <w:rPr>
          <w:sz w:val="18"/>
          <w:szCs w:val="18"/>
        </w:rPr>
        <w:t>”</w:t>
      </w:r>
      <w:r w:rsidR="00BF3499" w:rsidRPr="00CB7596">
        <w:rPr>
          <w:sz w:val="18"/>
          <w:szCs w:val="18"/>
        </w:rPr>
        <w:t> é</w:t>
      </w:r>
      <w:r w:rsidR="00BF3499" w:rsidRPr="00CB7596">
        <w:rPr>
          <w:rFonts w:ascii="Calibri" w:eastAsia="Calibri" w:hAnsi="Calibri" w:cs="Arial"/>
          <w:spacing w:val="-3"/>
          <w:sz w:val="18"/>
          <w:szCs w:val="18"/>
        </w:rPr>
        <w:t xml:space="preserve"> o número total de pedidos efetuados por um utilizador final para o </w:t>
      </w:r>
      <w:r w:rsidR="009B10D0">
        <w:rPr>
          <w:rFonts w:ascii="Calibri" w:eastAsia="Calibri" w:hAnsi="Calibri" w:cs="Arial"/>
          <w:spacing w:val="-3"/>
          <w:sz w:val="18"/>
          <w:szCs w:val="18"/>
        </w:rPr>
        <w:t>Copilot Studio</w:t>
      </w:r>
      <w:r w:rsidR="00BF3499" w:rsidRPr="00CB7596">
        <w:rPr>
          <w:rFonts w:ascii="Calibri" w:eastAsia="Calibri" w:hAnsi="Calibri" w:cs="Arial"/>
          <w:spacing w:val="-3"/>
          <w:sz w:val="18"/>
          <w:szCs w:val="18"/>
        </w:rPr>
        <w:t xml:space="preserve"> durante um Período Aplicável.</w:t>
      </w:r>
    </w:p>
    <w:p w14:paraId="0140F598" w14:textId="76F266E4" w:rsidR="00BF3499" w:rsidRPr="00CB7596" w:rsidRDefault="00380305" w:rsidP="00F01ED6">
      <w:pPr>
        <w:shd w:val="clear" w:color="auto" w:fill="FFFFFF"/>
        <w:spacing w:after="0" w:line="240" w:lineRule="auto"/>
        <w:rPr>
          <w:rFonts w:ascii="Calibri" w:eastAsia="Calibri" w:hAnsi="Calibri" w:cs="Arial"/>
          <w:sz w:val="18"/>
          <w:szCs w:val="18"/>
        </w:rPr>
      </w:pPr>
      <w:r w:rsidRPr="00CB7596">
        <w:rPr>
          <w:sz w:val="18"/>
        </w:rPr>
        <w:t>“</w:t>
      </w:r>
      <w:r w:rsidR="00BF3499" w:rsidRPr="00CB7596">
        <w:rPr>
          <w:rFonts w:ascii="Calibri" w:eastAsia="Calibri" w:hAnsi="Calibri" w:cs="Arial"/>
          <w:b/>
          <w:color w:val="00188F"/>
          <w:sz w:val="18"/>
          <w:szCs w:val="18"/>
        </w:rPr>
        <w:t>Pedidos de Mensagens com Falha</w:t>
      </w:r>
      <w:r w:rsidRPr="00CB7596">
        <w:rPr>
          <w:sz w:val="18"/>
        </w:rPr>
        <w:t>”</w:t>
      </w:r>
      <w:r w:rsidR="00BF3499" w:rsidRPr="00CB7596">
        <w:rPr>
          <w:rFonts w:ascii="Calibri" w:eastAsia="Calibri" w:hAnsi="Calibri" w:cs="Arial"/>
          <w:sz w:val="18"/>
          <w:szCs w:val="18"/>
        </w:rPr>
        <w:t xml:space="preserve"> designa o número total de pedidos no Total de Pedidos de Mensagens para o qual o </w:t>
      </w:r>
      <w:r w:rsidR="009B10D0">
        <w:rPr>
          <w:rFonts w:ascii="Calibri" w:eastAsia="Calibri" w:hAnsi="Calibri" w:cs="Arial"/>
          <w:spacing w:val="-3"/>
          <w:sz w:val="18"/>
          <w:szCs w:val="18"/>
        </w:rPr>
        <w:t>Copilot Studio</w:t>
      </w:r>
      <w:r w:rsidR="009B10D0" w:rsidRPr="00CB7596">
        <w:rPr>
          <w:rFonts w:ascii="Calibri" w:eastAsia="Calibri" w:hAnsi="Calibri" w:cs="Arial"/>
          <w:spacing w:val="-3"/>
          <w:sz w:val="18"/>
          <w:szCs w:val="18"/>
        </w:rPr>
        <w:t xml:space="preserve"> </w:t>
      </w:r>
      <w:r w:rsidR="00BF3499" w:rsidRPr="00CB7596">
        <w:rPr>
          <w:rFonts w:ascii="Calibri" w:eastAsia="Calibri" w:hAnsi="Calibri" w:cs="Arial"/>
          <w:sz w:val="18"/>
          <w:szCs w:val="18"/>
        </w:rPr>
        <w:t>é</w:t>
      </w:r>
      <w:r w:rsidR="0087146A">
        <w:rPr>
          <w:rFonts w:ascii="Calibri" w:eastAsia="Calibri" w:hAnsi="Calibri" w:cs="Arial"/>
          <w:sz w:val="18"/>
          <w:szCs w:val="18"/>
        </w:rPr>
        <w:t> </w:t>
      </w:r>
      <w:r w:rsidR="00BF3499" w:rsidRPr="00CB7596">
        <w:rPr>
          <w:rFonts w:ascii="Calibri" w:eastAsia="Calibri" w:hAnsi="Calibri" w:cs="Arial"/>
          <w:sz w:val="18"/>
          <w:szCs w:val="18"/>
        </w:rPr>
        <w:t xml:space="preserve">incapaz de enviar uma mensagem de resposta devido a um erro do sistema no </w:t>
      </w:r>
      <w:r w:rsidR="009B10D0">
        <w:rPr>
          <w:rFonts w:ascii="Calibri" w:eastAsia="Calibri" w:hAnsi="Calibri" w:cs="Arial"/>
          <w:spacing w:val="-3"/>
          <w:sz w:val="18"/>
          <w:szCs w:val="18"/>
        </w:rPr>
        <w:t>Copilot Studio</w:t>
      </w:r>
      <w:r w:rsidR="00BF3499" w:rsidRPr="00CB7596">
        <w:rPr>
          <w:rFonts w:ascii="Calibri" w:eastAsia="Calibri" w:hAnsi="Calibri" w:cs="Arial"/>
          <w:sz w:val="18"/>
          <w:szCs w:val="18"/>
        </w:rPr>
        <w:t>.</w:t>
      </w:r>
    </w:p>
    <w:p w14:paraId="777E0808" w14:textId="3CC75F91" w:rsidR="00BF3499" w:rsidRPr="00CB7596" w:rsidRDefault="00AC48A7" w:rsidP="00F01ED6">
      <w:pPr>
        <w:tabs>
          <w:tab w:val="left" w:pos="360"/>
          <w:tab w:val="left" w:pos="720"/>
          <w:tab w:val="left" w:pos="1080"/>
        </w:tabs>
        <w:spacing w:after="0" w:line="240" w:lineRule="auto"/>
        <w:rPr>
          <w:rFonts w:ascii="Calibri" w:eastAsia="Calibri" w:hAnsi="Calibri" w:cs="Arial"/>
          <w:sz w:val="18"/>
          <w:szCs w:val="18"/>
        </w:rPr>
      </w:pPr>
      <w:r w:rsidRPr="00CB7596">
        <w:rPr>
          <w:rFonts w:ascii="Calibri" w:eastAsia="Calibri" w:hAnsi="Calibri" w:cs="Arial"/>
          <w:b/>
          <w:color w:val="00188F"/>
          <w:sz w:val="18"/>
          <w:szCs w:val="18"/>
        </w:rPr>
        <w:t>Percentagem de Período de Disponibilidade</w:t>
      </w:r>
      <w:r w:rsidRPr="00473DD3">
        <w:rPr>
          <w:rFonts w:ascii="Calibri" w:eastAsia="Calibri" w:hAnsi="Calibri" w:cs="Arial"/>
          <w:b/>
          <w:color w:val="00188F"/>
          <w:sz w:val="18"/>
          <w:szCs w:val="18"/>
        </w:rPr>
        <w:t>:</w:t>
      </w:r>
      <w:r w:rsidRPr="00CB7596">
        <w:rPr>
          <w:rFonts w:ascii="Calibri" w:eastAsia="Calibri" w:hAnsi="Calibri" w:cs="Arial"/>
          <w:sz w:val="18"/>
          <w:szCs w:val="18"/>
        </w:rPr>
        <w:t xml:space="preserve"> A Percentagem de Período de Disponibilidade é calculada através da seguinte fórmula:</w:t>
      </w:r>
    </w:p>
    <w:p w14:paraId="390716A7" w14:textId="77777777" w:rsidR="00BF3499" w:rsidRPr="00CB7596" w:rsidRDefault="00BF3499" w:rsidP="00F01ED6">
      <w:pPr>
        <w:tabs>
          <w:tab w:val="left" w:pos="360"/>
          <w:tab w:val="left" w:pos="720"/>
          <w:tab w:val="left" w:pos="1080"/>
        </w:tabs>
        <w:spacing w:after="0" w:line="240" w:lineRule="auto"/>
        <w:rPr>
          <w:rFonts w:ascii="Calibri" w:eastAsia="Calibri" w:hAnsi="Calibri" w:cs="Arial"/>
          <w:sz w:val="18"/>
          <w:szCs w:val="18"/>
        </w:rPr>
      </w:pPr>
    </w:p>
    <w:p w14:paraId="5FFCCA93" w14:textId="69F3D59D" w:rsidR="00BF3499" w:rsidRPr="001878FE" w:rsidRDefault="00000000" w:rsidP="00DC1476">
      <w:pPr>
        <w:spacing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Pedidos de Mensagens-Pedidos de Mensagens com Falha</m:t>
              </m:r>
            </m:num>
            <m:den>
              <m:r>
                <m:rPr>
                  <m:nor/>
                </m:rPr>
                <w:rPr>
                  <w:rFonts w:ascii="Cambria Math" w:eastAsia="Calibri" w:hAnsi="Cambria Math" w:cs="Calibri"/>
                  <w:i/>
                  <w:iCs/>
                  <w:sz w:val="18"/>
                  <w:szCs w:val="18"/>
                </w:rPr>
                <m:t>Total de Pedidos de Mensagens</m:t>
              </m:r>
            </m:den>
          </m:f>
          <m:r>
            <w:rPr>
              <w:rFonts w:ascii="Cambria Math" w:eastAsia="Calibri" w:hAnsi="Cambria Math" w:cs="Calibri"/>
              <w:sz w:val="18"/>
              <w:szCs w:val="18"/>
            </w:rPr>
            <m:t xml:space="preserve"> x 100</m:t>
          </m:r>
        </m:oMath>
      </m:oMathPara>
    </w:p>
    <w:p w14:paraId="7FF4554C" w14:textId="38E2628D" w:rsidR="00BF3499" w:rsidRDefault="00BF3499" w:rsidP="00F01E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73DD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374576">
        <w:trPr>
          <w:tblHeader/>
        </w:trPr>
        <w:tc>
          <w:tcPr>
            <w:tcW w:w="5395" w:type="dxa"/>
            <w:shd w:val="clear" w:color="auto" w:fill="0072C6"/>
          </w:tcPr>
          <w:p w14:paraId="5B793407" w14:textId="47AA0289" w:rsidR="00BF3499" w:rsidRPr="006D4DC5"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CDCE47" w14:textId="77777777" w:rsidR="00BF3499" w:rsidRPr="006D4DC5" w:rsidRDefault="00BF3499" w:rsidP="00F01ED6">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374576">
        <w:trPr>
          <w:tblHeader/>
        </w:trPr>
        <w:tc>
          <w:tcPr>
            <w:tcW w:w="5395" w:type="dxa"/>
          </w:tcPr>
          <w:p w14:paraId="603E5022" w14:textId="77777777" w:rsidR="00BF3499" w:rsidRDefault="00BF3499" w:rsidP="00F01ED6">
            <w:pPr>
              <w:pStyle w:val="ProductList-OfferingBody"/>
              <w:jc w:val="center"/>
              <w:rPr>
                <w:color w:val="000000" w:themeColor="text1"/>
              </w:rPr>
            </w:pPr>
            <w:r>
              <w:t>&lt; 99,9%</w:t>
            </w:r>
          </w:p>
        </w:tc>
        <w:tc>
          <w:tcPr>
            <w:tcW w:w="5400" w:type="dxa"/>
          </w:tcPr>
          <w:p w14:paraId="51950A0F" w14:textId="77777777" w:rsidR="00BF3499" w:rsidRDefault="00BF3499" w:rsidP="00F01ED6">
            <w:pPr>
              <w:pStyle w:val="ProductList-OfferingBody"/>
              <w:jc w:val="center"/>
              <w:rPr>
                <w:color w:val="000000" w:themeColor="text1"/>
              </w:rPr>
            </w:pPr>
            <w:r>
              <w:t>10%</w:t>
            </w:r>
          </w:p>
        </w:tc>
      </w:tr>
    </w:tbl>
    <w:bookmarkStart w:id="442" w:name="_Toc102075655"/>
    <w:p w14:paraId="5A8ADD3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1989FDF" w14:textId="77777777" w:rsidR="00F52BD7" w:rsidRPr="00EF7CF9" w:rsidRDefault="00F52BD7" w:rsidP="00F01ED6">
      <w:pPr>
        <w:pStyle w:val="ProductList-Offering2Heading"/>
        <w:tabs>
          <w:tab w:val="clear" w:pos="360"/>
          <w:tab w:val="clear" w:pos="720"/>
          <w:tab w:val="clear" w:pos="1080"/>
        </w:tabs>
        <w:outlineLvl w:val="2"/>
      </w:pPr>
      <w:bookmarkStart w:id="443" w:name="_Toc182409751"/>
      <w:r>
        <w:t>Gestor de Sustentabilidade da Microsoft</w:t>
      </w:r>
      <w:bookmarkEnd w:id="442"/>
      <w:bookmarkEnd w:id="443"/>
    </w:p>
    <w:p w14:paraId="1739FE7D" w14:textId="234D0C43" w:rsidR="00F52BD7" w:rsidRDefault="00F52BD7" w:rsidP="00F01ED6">
      <w:pPr>
        <w:pStyle w:val="ProductList-Body"/>
        <w:ind w:right="360"/>
        <w:rPr>
          <w:szCs w:val="18"/>
        </w:rPr>
      </w:pPr>
      <w:r>
        <w:rPr>
          <w:b/>
          <w:color w:val="00188F"/>
        </w:rPr>
        <w:t xml:space="preserve">Período de Indisponibilidade: </w:t>
      </w:r>
      <w:r>
        <w:rPr>
          <w:szCs w:val="18"/>
        </w:rPr>
        <w:t>Qualquer período durante o qual os utilizadores finais não conseguem iniciar sessão no respetivo ambiente. O</w:t>
      </w:r>
      <w:r w:rsidR="0074049A">
        <w:rPr>
          <w:szCs w:val="18"/>
        </w:rPr>
        <w:t> </w:t>
      </w:r>
      <w:r>
        <w:rPr>
          <w:szCs w:val="18"/>
        </w:rPr>
        <w:t>Período de Indisponibilidade não inclui a Indisponibilidade Agendada, a indisponibilidade das funcionalidades dos suplementos do Serviço ou a incapacidade de aceder ao Serviço devido a modificações efetuadas ao Serviço.</w:t>
      </w:r>
    </w:p>
    <w:p w14:paraId="319CDBE0" w14:textId="3035A621" w:rsidR="00F52BD7" w:rsidRPr="00044406" w:rsidRDefault="00AC48A7" w:rsidP="00F01ED6">
      <w:pPr>
        <w:pStyle w:val="ProductList-Body"/>
        <w:rPr>
          <w:szCs w:val="18"/>
        </w:rPr>
      </w:pPr>
      <w:r>
        <w:rPr>
          <w:b/>
          <w:color w:val="00188F"/>
        </w:rPr>
        <w:t>Percentagem de Período de Disponibilidade:</w:t>
      </w:r>
      <w:r>
        <w:rPr>
          <w:szCs w:val="18"/>
        </w:rPr>
        <w:t xml:space="preserve"> </w:t>
      </w:r>
      <w:r>
        <w:rPr>
          <w:rFonts w:ascii="Calibri" w:eastAsia="Times New Roman" w:hAnsi="Calibri" w:cs="Calibri"/>
        </w:rPr>
        <w:t>A Percentagem de Período de Disponibilidade é calculada através da seguinte fórmula:</w:t>
      </w:r>
    </w:p>
    <w:p w14:paraId="69ABF484" w14:textId="77777777" w:rsidR="00F52BD7" w:rsidRPr="00EF7CF9" w:rsidRDefault="00F52BD7" w:rsidP="00F01ED6">
      <w:pPr>
        <w:pStyle w:val="ProductList-Body"/>
      </w:pPr>
    </w:p>
    <w:p w14:paraId="04D06B7C" w14:textId="722814A7" w:rsidR="00F52BD7"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AB82D5E" w14:textId="643C0E25" w:rsidR="00F52BD7" w:rsidRDefault="00AC48A7" w:rsidP="00F01ED6">
      <w:pPr>
        <w:pStyle w:val="ProductList-Body"/>
        <w:ind w:right="126"/>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8E735F0" w14:textId="77777777" w:rsidR="004B4212" w:rsidRPr="00EF7CF9" w:rsidRDefault="004B4212" w:rsidP="00F01ED6">
      <w:pPr>
        <w:pStyle w:val="ProductList-Body"/>
        <w:ind w:right="126"/>
      </w:pPr>
    </w:p>
    <w:p w14:paraId="2A07C68F" w14:textId="77777777" w:rsidR="00F52BD7" w:rsidRPr="00EF7CF9" w:rsidRDefault="00F52BD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1551BE2" w14:textId="77777777" w:rsidR="00F52BD7" w:rsidRPr="00EF7CF9" w:rsidRDefault="00F52BD7" w:rsidP="00F01ED6">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F01ED6">
            <w:pPr>
              <w:pStyle w:val="ProductList-OfferingBody"/>
              <w:jc w:val="center"/>
            </w:pPr>
            <w:r>
              <w:t>&lt; 99,5%</w:t>
            </w:r>
          </w:p>
        </w:tc>
        <w:tc>
          <w:tcPr>
            <w:tcW w:w="5400" w:type="dxa"/>
          </w:tcPr>
          <w:p w14:paraId="670480DD" w14:textId="77777777" w:rsidR="00F52BD7" w:rsidRPr="00EF7CF9" w:rsidRDefault="00F52BD7" w:rsidP="00F01ED6">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F01ED6">
            <w:pPr>
              <w:pStyle w:val="ProductList-OfferingBody"/>
              <w:jc w:val="center"/>
            </w:pPr>
            <w:r>
              <w:t>&lt; 99%</w:t>
            </w:r>
          </w:p>
        </w:tc>
        <w:tc>
          <w:tcPr>
            <w:tcW w:w="5400" w:type="dxa"/>
          </w:tcPr>
          <w:p w14:paraId="7B80C04C" w14:textId="77777777" w:rsidR="00F52BD7" w:rsidRPr="00EF7CF9" w:rsidRDefault="00F52BD7" w:rsidP="00F01ED6">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F01ED6">
            <w:pPr>
              <w:pStyle w:val="ProductList-OfferingBody"/>
              <w:jc w:val="center"/>
            </w:pPr>
            <w:r>
              <w:t>&lt; 95%</w:t>
            </w:r>
          </w:p>
        </w:tc>
        <w:tc>
          <w:tcPr>
            <w:tcW w:w="5400" w:type="dxa"/>
          </w:tcPr>
          <w:p w14:paraId="0913817E" w14:textId="77777777" w:rsidR="00F52BD7" w:rsidRPr="00EF7CF9" w:rsidRDefault="00F52BD7" w:rsidP="00F01ED6">
            <w:pPr>
              <w:pStyle w:val="ProductList-OfferingBody"/>
              <w:keepNext/>
              <w:jc w:val="center"/>
            </w:pPr>
            <w:r>
              <w:t>100%</w:t>
            </w:r>
          </w:p>
        </w:tc>
      </w:tr>
    </w:tbl>
    <w:p w14:paraId="7F1F7C0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AA67818" w14:textId="77777777" w:rsidR="00494CDE" w:rsidRPr="00EF7CF9" w:rsidRDefault="00494CDE" w:rsidP="00DE1024">
      <w:pPr>
        <w:pStyle w:val="ProductList-Offering2Heading"/>
        <w:tabs>
          <w:tab w:val="clear" w:pos="360"/>
          <w:tab w:val="clear" w:pos="720"/>
          <w:tab w:val="clear" w:pos="1080"/>
        </w:tabs>
        <w:outlineLvl w:val="2"/>
      </w:pPr>
      <w:bookmarkStart w:id="444" w:name="_Toc182409752"/>
      <w:r>
        <w:t>Minecraft: Education Edition</w:t>
      </w:r>
      <w:bookmarkEnd w:id="444"/>
    </w:p>
    <w:p w14:paraId="0F5A210A" w14:textId="425DF245" w:rsidR="00494CDE" w:rsidRPr="00EF7CF9" w:rsidRDefault="00494CDE" w:rsidP="00F01ED6">
      <w:pPr>
        <w:pStyle w:val="ProductList-Body"/>
        <w:rPr>
          <w:szCs w:val="18"/>
        </w:rPr>
      </w:pPr>
      <w:r>
        <w:rPr>
          <w:b/>
          <w:color w:val="00188F"/>
        </w:rPr>
        <w:t>Período de Indisponibilidade</w:t>
      </w:r>
      <w:r w:rsidRPr="00473DD3">
        <w:rPr>
          <w:b/>
          <w:color w:val="00188F"/>
        </w:rPr>
        <w:t>:</w:t>
      </w:r>
      <w:r>
        <w:t xml:space="preserve"> </w:t>
      </w:r>
      <w:r>
        <w:rPr>
          <w:szCs w:val="18"/>
        </w:rPr>
        <w:t xml:space="preserve">Qualquer período de tempo em que os utilizadores não conseguem aceder ao Minecraft: Education Edition. </w:t>
      </w:r>
    </w:p>
    <w:p w14:paraId="407A2539" w14:textId="0500B4D8" w:rsidR="00494CD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8F2D925" w14:textId="77777777" w:rsidR="00494CDE" w:rsidRPr="00EF7CF9" w:rsidRDefault="00494CDE" w:rsidP="00F01ED6">
      <w:pPr>
        <w:pStyle w:val="ProductList-Body"/>
      </w:pPr>
    </w:p>
    <w:p w14:paraId="07812754" w14:textId="1E729081" w:rsidR="00494CDE"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00CE6E8D" w14:textId="69ACF4E7" w:rsidR="00494CDE" w:rsidRDefault="00AC48A7" w:rsidP="00F01ED6">
      <w:pPr>
        <w:pStyle w:val="ProductList-Body"/>
        <w:ind w:right="171"/>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599938" w14:textId="77777777" w:rsidR="00AA43CF" w:rsidRPr="00EF7CF9" w:rsidRDefault="00AA43CF" w:rsidP="00F01ED6">
      <w:pPr>
        <w:pStyle w:val="ProductList-Body"/>
        <w:ind w:right="171"/>
      </w:pPr>
    </w:p>
    <w:p w14:paraId="18285BB6" w14:textId="472020F1" w:rsidR="00494CDE" w:rsidRPr="00EF7CF9" w:rsidRDefault="00494CD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064E67C" w14:textId="77777777" w:rsidR="00494CDE" w:rsidRPr="00EF7CF9" w:rsidRDefault="00494CDE" w:rsidP="00F01ED6">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F01ED6">
            <w:pPr>
              <w:pStyle w:val="ProductList-OfferingBody"/>
              <w:jc w:val="center"/>
            </w:pPr>
            <w:r>
              <w:t>&lt; 99,9%</w:t>
            </w:r>
          </w:p>
        </w:tc>
        <w:tc>
          <w:tcPr>
            <w:tcW w:w="5400" w:type="dxa"/>
          </w:tcPr>
          <w:p w14:paraId="474A68F1" w14:textId="77777777" w:rsidR="00494CDE" w:rsidRPr="00EF7CF9" w:rsidRDefault="00494CDE" w:rsidP="00F01ED6">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F01ED6">
            <w:pPr>
              <w:pStyle w:val="ProductList-OfferingBody"/>
              <w:jc w:val="center"/>
            </w:pPr>
            <w:r>
              <w:t>&lt; 99%</w:t>
            </w:r>
          </w:p>
        </w:tc>
        <w:tc>
          <w:tcPr>
            <w:tcW w:w="5400" w:type="dxa"/>
          </w:tcPr>
          <w:p w14:paraId="6E07CBA3" w14:textId="77777777" w:rsidR="00494CDE" w:rsidRPr="00EF7CF9" w:rsidRDefault="00494CDE" w:rsidP="00F01ED6">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F01ED6">
            <w:pPr>
              <w:pStyle w:val="ProductList-OfferingBody"/>
              <w:jc w:val="center"/>
            </w:pPr>
            <w:r>
              <w:t>&lt; 95%</w:t>
            </w:r>
          </w:p>
        </w:tc>
        <w:tc>
          <w:tcPr>
            <w:tcW w:w="5400" w:type="dxa"/>
          </w:tcPr>
          <w:p w14:paraId="68EE0912" w14:textId="77777777" w:rsidR="00494CDE" w:rsidRPr="00EF7CF9" w:rsidRDefault="00494CDE" w:rsidP="00F01ED6">
            <w:pPr>
              <w:pStyle w:val="ProductList-OfferingBody"/>
              <w:keepNext/>
              <w:jc w:val="center"/>
            </w:pPr>
            <w:r>
              <w:t>100%</w:t>
            </w:r>
          </w:p>
        </w:tc>
      </w:tr>
    </w:tbl>
    <w:bookmarkStart w:id="445" w:name="_Toc457821594"/>
    <w:p w14:paraId="23F8B97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83E8B2" w14:textId="1730A621" w:rsidR="00D46BBE" w:rsidRPr="00EF7CF9" w:rsidRDefault="00D46BBE" w:rsidP="00F01ED6">
      <w:pPr>
        <w:pStyle w:val="ProductList-Offering2Heading"/>
        <w:tabs>
          <w:tab w:val="clear" w:pos="360"/>
          <w:tab w:val="clear" w:pos="720"/>
          <w:tab w:val="clear" w:pos="1080"/>
        </w:tabs>
        <w:outlineLvl w:val="2"/>
      </w:pPr>
      <w:bookmarkStart w:id="446" w:name="_Toc182409753"/>
      <w:r>
        <w:t>Power BI Embedded</w:t>
      </w:r>
      <w:bookmarkEnd w:id="445"/>
      <w:bookmarkEnd w:id="446"/>
    </w:p>
    <w:p w14:paraId="6682B686" w14:textId="024AAC30" w:rsidR="00D46BBE" w:rsidRPr="00EF7CF9" w:rsidRDefault="00D46BBE" w:rsidP="0045292D">
      <w:pPr>
        <w:shd w:val="clear" w:color="auto" w:fill="FFFFFF"/>
        <w:spacing w:after="0" w:line="240" w:lineRule="auto"/>
        <w:rPr>
          <w:sz w:val="18"/>
          <w:szCs w:val="18"/>
        </w:rPr>
      </w:pPr>
      <w:r>
        <w:rPr>
          <w:b/>
          <w:color w:val="00188F"/>
          <w:sz w:val="18"/>
        </w:rPr>
        <w:t>Minutos de Implementação</w:t>
      </w:r>
      <w:r w:rsidRPr="00473DD3">
        <w:rPr>
          <w:b/>
          <w:color w:val="00188F"/>
          <w:sz w:val="18"/>
        </w:rPr>
        <w:t>:</w:t>
      </w:r>
      <w:r>
        <w:rPr>
          <w:sz w:val="18"/>
          <w:szCs w:val="18"/>
        </w:rPr>
        <w:t xml:space="preserve"> O número total de minutos para os quais uma determinada capacidade incorporada esteve ativa durante um Período</w:t>
      </w:r>
      <w:r w:rsidR="0074049A">
        <w:rPr>
          <w:sz w:val="18"/>
          <w:szCs w:val="18"/>
        </w:rPr>
        <w:t> </w:t>
      </w:r>
      <w:r>
        <w:rPr>
          <w:sz w:val="18"/>
          <w:szCs w:val="18"/>
        </w:rPr>
        <w:t>Aplicável.</w:t>
      </w:r>
    </w:p>
    <w:p w14:paraId="24389026" w14:textId="6D838F6A" w:rsidR="00D46BBE" w:rsidRPr="00EF7CF9" w:rsidRDefault="0080752B" w:rsidP="00F01ED6">
      <w:pPr>
        <w:pStyle w:val="ProductList-Body"/>
        <w:rPr>
          <w:szCs w:val="18"/>
        </w:rPr>
      </w:pPr>
      <w:r>
        <w:rPr>
          <w:b/>
          <w:color w:val="00188F"/>
        </w:rPr>
        <w:t>Máximo de Minutos Disponíveis</w:t>
      </w:r>
      <w:r w:rsidRPr="00473DD3">
        <w:rPr>
          <w:b/>
          <w:color w:val="00188F"/>
        </w:rPr>
        <w:t>:</w:t>
      </w:r>
      <w:r>
        <w:t xml:space="preserve"> </w:t>
      </w:r>
      <w:r>
        <w:rPr>
          <w:szCs w:val="18"/>
        </w:rPr>
        <w:t>A soma de todos os Minutos de Implementação para uma capacidade incorporada específica aprovisionada por</w:t>
      </w:r>
      <w:r w:rsidR="00C9074A">
        <w:rPr>
          <w:szCs w:val="18"/>
        </w:rPr>
        <w:t> </w:t>
      </w:r>
      <w:r>
        <w:rPr>
          <w:szCs w:val="18"/>
        </w:rPr>
        <w:t>um cliente numa determinada subscrição do Microsoft Azure durante um Período Aplicável.</w:t>
      </w:r>
    </w:p>
    <w:p w14:paraId="51C796EF" w14:textId="6D9F6BFB" w:rsidR="00D46BBE" w:rsidRPr="006F3CBD" w:rsidRDefault="00D46BBE" w:rsidP="00F01ED6">
      <w:pPr>
        <w:pStyle w:val="ProductList-Body"/>
      </w:pPr>
      <w:r>
        <w:rPr>
          <w:b/>
          <w:color w:val="00188F"/>
        </w:rPr>
        <w:t>Minutos de Período de Indisponibilidade</w:t>
      </w:r>
      <w:r w:rsidRPr="00473DD3">
        <w:rPr>
          <w:b/>
          <w:color w:val="00188F"/>
        </w:rPr>
        <w:t>:</w:t>
      </w:r>
      <w:r>
        <w:t xml:space="preserve"> </w:t>
      </w:r>
      <w:r>
        <w:rPr>
          <w:szCs w:val="18"/>
        </w:rPr>
        <w:t>O total acumulado de Minutos de Implementação durante os quais não é possível utilizar uma capacidade incorporada em todas as funcionalidades aplicáveis do Power BI listadas abaixo:</w:t>
      </w:r>
    </w:p>
    <w:p w14:paraId="3A0DFCD2" w14:textId="77777777" w:rsidR="005F6A67" w:rsidRPr="00562EF3" w:rsidRDefault="005F6A67" w:rsidP="00F01ED6">
      <w:pPr>
        <w:pStyle w:val="ProductList-Body"/>
        <w:ind w:left="187"/>
        <w:rPr>
          <w:szCs w:val="18"/>
        </w:rPr>
      </w:pPr>
      <w:r>
        <w:rPr>
          <w:b/>
          <w:color w:val="00188F"/>
          <w:szCs w:val="18"/>
        </w:rPr>
        <w:t>Ver:</w:t>
      </w:r>
      <w:r>
        <w:rPr>
          <w:szCs w:val="18"/>
        </w:rPr>
        <w:t xml:space="preserve"> ver Dashboards, Relatórios e Aplicações do Power BI no serviço.</w:t>
      </w:r>
    </w:p>
    <w:p w14:paraId="45A8D5E3" w14:textId="77777777" w:rsidR="005F6A67" w:rsidRPr="00562EF3" w:rsidRDefault="005F6A67" w:rsidP="00F01ED6">
      <w:pPr>
        <w:pStyle w:val="ProductList-Body"/>
        <w:ind w:left="187" w:right="450"/>
        <w:rPr>
          <w:szCs w:val="18"/>
        </w:rPr>
      </w:pPr>
      <w:r>
        <w:rPr>
          <w:b/>
          <w:color w:val="00188F"/>
          <w:szCs w:val="18"/>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92237E2" w14:textId="6B3F431E" w:rsidR="005F6A67" w:rsidRPr="00F86AAF" w:rsidRDefault="005F6A67" w:rsidP="00F01ED6">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acesso e utilização do Portal do Power BI dentro dos períodos esperados, tendo em consideração as condições e</w:t>
      </w:r>
      <w:r w:rsidR="0074049A">
        <w:rPr>
          <w:sz w:val="18"/>
          <w:szCs w:val="18"/>
        </w:rPr>
        <w:t> </w:t>
      </w:r>
      <w:r>
        <w:rPr>
          <w:sz w:val="18"/>
          <w:szCs w:val="18"/>
        </w:rPr>
        <w:t>as limitações da rede, locais do ambiente do cliente ou externas à Microsoft.</w:t>
      </w:r>
      <w:r>
        <w:rPr>
          <w:rFonts w:ascii="Times New Roman" w:hAnsi="Times New Roman" w:cs="Times New Roman"/>
          <w:sz w:val="18"/>
          <w:szCs w:val="18"/>
        </w:rPr>
        <w:t xml:space="preserve"> </w:t>
      </w:r>
    </w:p>
    <w:p w14:paraId="3176D16B" w14:textId="7D30EEE2" w:rsidR="00D46BB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64CC5AC" w14:textId="77777777" w:rsidR="00D46BBE" w:rsidRPr="00EF7CF9" w:rsidRDefault="00D46BBE" w:rsidP="00F01ED6">
      <w:pPr>
        <w:pStyle w:val="ProductList-Body"/>
      </w:pPr>
    </w:p>
    <w:p w14:paraId="3A481C1F" w14:textId="4573AC7D" w:rsidR="00D46BBE" w:rsidRPr="00FD6AB8"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2B60FD" w14:textId="77777777" w:rsidR="00D46BBE" w:rsidRPr="00EF7CF9" w:rsidRDefault="00D46BB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55701A" w14:textId="77777777" w:rsidR="00D46BBE" w:rsidRPr="00EF7CF9" w:rsidRDefault="00D46BBE" w:rsidP="00F01ED6">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F01ED6">
            <w:pPr>
              <w:pStyle w:val="ProductList-OfferingBody"/>
              <w:jc w:val="center"/>
            </w:pPr>
            <w:r>
              <w:t>&lt; 99,9%</w:t>
            </w:r>
          </w:p>
        </w:tc>
        <w:tc>
          <w:tcPr>
            <w:tcW w:w="5400" w:type="dxa"/>
          </w:tcPr>
          <w:p w14:paraId="54054EA6" w14:textId="77777777" w:rsidR="00D46BBE" w:rsidRPr="00EF7CF9" w:rsidRDefault="00D46BBE" w:rsidP="00F01ED6">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F01ED6">
            <w:pPr>
              <w:pStyle w:val="ProductList-OfferingBody"/>
              <w:jc w:val="center"/>
            </w:pPr>
            <w:r>
              <w:t>&lt; 99%</w:t>
            </w:r>
          </w:p>
        </w:tc>
        <w:tc>
          <w:tcPr>
            <w:tcW w:w="5400" w:type="dxa"/>
          </w:tcPr>
          <w:p w14:paraId="068AE7F1" w14:textId="77777777" w:rsidR="00D46BBE" w:rsidRPr="00EF7CF9" w:rsidRDefault="00D46BBE" w:rsidP="00F01ED6">
            <w:pPr>
              <w:pStyle w:val="ProductList-OfferingBody"/>
              <w:jc w:val="center"/>
            </w:pPr>
            <w:r>
              <w:t>25%</w:t>
            </w:r>
          </w:p>
        </w:tc>
      </w:tr>
    </w:tbl>
    <w:bookmarkStart w:id="447" w:name="_Toc457821595"/>
    <w:p w14:paraId="1A9F8CB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2D524F" w14:textId="70462449" w:rsidR="002D6A90" w:rsidRPr="00EF7CF9" w:rsidRDefault="002D6A90" w:rsidP="00AA43CF">
      <w:pPr>
        <w:pStyle w:val="ProductList-Offering2Heading"/>
        <w:keepNext/>
        <w:tabs>
          <w:tab w:val="clear" w:pos="360"/>
          <w:tab w:val="clear" w:pos="720"/>
          <w:tab w:val="clear" w:pos="1080"/>
        </w:tabs>
        <w:outlineLvl w:val="2"/>
      </w:pPr>
      <w:bookmarkStart w:id="448" w:name="_Toc182409754"/>
      <w:r>
        <w:t>Power BI Premium</w:t>
      </w:r>
      <w:bookmarkEnd w:id="448"/>
    </w:p>
    <w:p w14:paraId="4D4399A1" w14:textId="0EAEC01E" w:rsidR="002D6A90" w:rsidRPr="00EF7CF9" w:rsidRDefault="002D6A90" w:rsidP="00F01ED6">
      <w:pPr>
        <w:pStyle w:val="ProductList-Body"/>
      </w:pPr>
      <w:r>
        <w:rPr>
          <w:b/>
          <w:color w:val="00188F"/>
        </w:rPr>
        <w:t>Capacidade:</w:t>
      </w:r>
      <w:r>
        <w:t xml:space="preserve"> designa uma capacidade nomeada aprovisionada por um administrador através do portal de administração da capacidade do Power BI</w:t>
      </w:r>
      <w:r w:rsidR="003A33AB">
        <w:t> </w:t>
      </w:r>
      <w:r>
        <w:t>Premium. Uma Capacidade é um agrupamento de um ou mais nós.</w:t>
      </w:r>
    </w:p>
    <w:p w14:paraId="13BA1B34" w14:textId="017CFF79" w:rsidR="002D6A90" w:rsidRPr="00EF7CF9" w:rsidRDefault="002D6A90" w:rsidP="00F01ED6">
      <w:pPr>
        <w:pStyle w:val="ProductList-Body"/>
      </w:pPr>
      <w:r>
        <w:rPr>
          <w:b/>
          <w:color w:val="00188F"/>
        </w:rPr>
        <w:t>Máximo de Minutos Disponíveis:</w:t>
      </w:r>
      <w:r>
        <w:t xml:space="preserve"> a soma de todos os minutos durante os quais determinada Capacidade foi atribuída a uma instância durante um</w:t>
      </w:r>
      <w:r w:rsidR="00561387">
        <w:t> </w:t>
      </w:r>
      <w:r>
        <w:t>Período Aplicável para um determinado inquilino.</w:t>
      </w:r>
    </w:p>
    <w:p w14:paraId="3EBB5A05" w14:textId="4A021365" w:rsidR="002D6A90" w:rsidRPr="00EF7CF9" w:rsidRDefault="002D6A90" w:rsidP="00F01ED6">
      <w:pPr>
        <w:pStyle w:val="ProductList-Body"/>
      </w:pPr>
      <w:r>
        <w:rPr>
          <w:b/>
          <w:color w:val="00188F"/>
        </w:rPr>
        <w:t>Minutos de Período de Indisponibilidade</w:t>
      </w:r>
      <w:r w:rsidRPr="00473DD3">
        <w:rPr>
          <w:b/>
          <w:color w:val="00188F"/>
        </w:rPr>
        <w:t>:</w:t>
      </w:r>
      <w:r>
        <w:t xml:space="preserve"> </w:t>
      </w:r>
      <w:r>
        <w:rPr>
          <w:szCs w:val="18"/>
        </w:rPr>
        <w:t>o total de minutos acumulados num Período Aplicável para uma determinada Capacidade, após a respetiva criação, ou antes de ser desaprovisionada, durante os quais não é possível utilizar a Capacidade em todas as funcionalidades aplicáveis do</w:t>
      </w:r>
      <w:r w:rsidR="00992E15">
        <w:rPr>
          <w:szCs w:val="18"/>
        </w:rPr>
        <w:t> </w:t>
      </w:r>
      <w:r>
        <w:rPr>
          <w:szCs w:val="18"/>
        </w:rPr>
        <w:t>Power BI listadas abaixo:</w:t>
      </w:r>
    </w:p>
    <w:p w14:paraId="3BFB5669" w14:textId="77777777" w:rsidR="00CA5CE3" w:rsidRDefault="00CA5CE3" w:rsidP="00F01ED6">
      <w:pPr>
        <w:pStyle w:val="ProductList-Body"/>
        <w:ind w:left="187"/>
        <w:rPr>
          <w:szCs w:val="18"/>
        </w:rPr>
      </w:pPr>
      <w:r>
        <w:rPr>
          <w:b/>
          <w:color w:val="00188F"/>
        </w:rPr>
        <w:t>Ver:</w:t>
      </w:r>
      <w:r>
        <w:rPr>
          <w:szCs w:val="18"/>
        </w:rPr>
        <w:t xml:space="preserve"> ver Dashboards, Relatórios e Aplicações do Power BI no serviço.</w:t>
      </w:r>
    </w:p>
    <w:p w14:paraId="342ED7E2" w14:textId="7772677E" w:rsidR="00CA5CE3" w:rsidRDefault="00CA5CE3"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DC1476">
        <w:rPr>
          <w:szCs w:val="18"/>
        </w:rPr>
        <w:t> </w:t>
      </w:r>
      <w:r>
        <w:rPr>
          <w:szCs w:val="18"/>
        </w:rPr>
        <w:t>exemplo, o tamanho do conjunto de dados).</w:t>
      </w:r>
    </w:p>
    <w:p w14:paraId="5C6B8C0C" w14:textId="50AFB700" w:rsidR="00CA5CE3" w:rsidRPr="00F86AAF" w:rsidRDefault="00CA5CE3"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DC1476">
        <w:rPr>
          <w:szCs w:val="18"/>
        </w:rPr>
        <w:t> </w:t>
      </w:r>
      <w:r>
        <w:rPr>
          <w:szCs w:val="18"/>
        </w:rPr>
        <w:t>as limitações da rede, locais do ambiente do cliente ou externas à Microsoft.</w:t>
      </w:r>
    </w:p>
    <w:p w14:paraId="2C1620AE" w14:textId="243C66A8" w:rsidR="002D6A90"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D36A64" w14:textId="77777777" w:rsidR="009E2B16" w:rsidRPr="00EF7CF9" w:rsidRDefault="009E2B16" w:rsidP="00F01ED6">
      <w:pPr>
        <w:pStyle w:val="ProductList-Body"/>
      </w:pPr>
    </w:p>
    <w:p w14:paraId="67F0784B" w14:textId="321FFB7D" w:rsidR="002D6A90" w:rsidRPr="009E2B16" w:rsidRDefault="00000000" w:rsidP="00F01ED6">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8365CB1" w14:textId="77777777" w:rsidR="002D6A90" w:rsidRPr="00EF7CF9" w:rsidRDefault="002D6A90"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B0F5" w14:textId="77777777" w:rsidR="002D6A90" w:rsidRPr="00EF7CF9" w:rsidRDefault="002D6A90" w:rsidP="00F01ED6">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F01ED6">
            <w:pPr>
              <w:pStyle w:val="ProductList-OfferingBody"/>
              <w:jc w:val="center"/>
            </w:pPr>
            <w:r>
              <w:t>&lt; 99,9%</w:t>
            </w:r>
          </w:p>
        </w:tc>
        <w:tc>
          <w:tcPr>
            <w:tcW w:w="5400" w:type="dxa"/>
          </w:tcPr>
          <w:p w14:paraId="719D357D" w14:textId="1400E17F" w:rsidR="002D6A90" w:rsidRPr="00EF7CF9" w:rsidRDefault="002D6A90" w:rsidP="00F01ED6">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F01ED6">
            <w:pPr>
              <w:pStyle w:val="ProductList-OfferingBody"/>
              <w:jc w:val="center"/>
            </w:pPr>
            <w:r>
              <w:t>&lt; 99%</w:t>
            </w:r>
          </w:p>
        </w:tc>
        <w:tc>
          <w:tcPr>
            <w:tcW w:w="5400" w:type="dxa"/>
          </w:tcPr>
          <w:p w14:paraId="52E1AD03" w14:textId="14F3C7FF" w:rsidR="002D6A90" w:rsidRPr="00EF7CF9" w:rsidRDefault="002D6A90" w:rsidP="00F01ED6">
            <w:pPr>
              <w:pStyle w:val="ProductList-OfferingBody"/>
              <w:jc w:val="center"/>
            </w:pPr>
            <w:r>
              <w:t>25%</w:t>
            </w:r>
          </w:p>
        </w:tc>
      </w:tr>
    </w:tbl>
    <w:p w14:paraId="337AEE1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30F133" w14:textId="0FA0019F" w:rsidR="00515EF4" w:rsidRPr="00EF7CF9" w:rsidRDefault="00515EF4" w:rsidP="00F01ED6">
      <w:pPr>
        <w:pStyle w:val="ProductList-Offering2Heading"/>
        <w:tabs>
          <w:tab w:val="clear" w:pos="360"/>
          <w:tab w:val="clear" w:pos="720"/>
          <w:tab w:val="clear" w:pos="1080"/>
        </w:tabs>
        <w:outlineLvl w:val="2"/>
      </w:pPr>
      <w:bookmarkStart w:id="449" w:name="_Toc182409755"/>
      <w:r>
        <w:t>Power BI Pro</w:t>
      </w:r>
      <w:bookmarkEnd w:id="433"/>
      <w:bookmarkEnd w:id="447"/>
      <w:bookmarkEnd w:id="449"/>
    </w:p>
    <w:p w14:paraId="2632FEBC" w14:textId="4613EEF9" w:rsidR="00595E65" w:rsidRDefault="00515EF4" w:rsidP="00F01ED6">
      <w:pPr>
        <w:pStyle w:val="ProductList-Body"/>
        <w:rPr>
          <w:szCs w:val="18"/>
        </w:rPr>
      </w:pPr>
      <w:r>
        <w:rPr>
          <w:b/>
          <w:color w:val="00188F"/>
        </w:rPr>
        <w:t>Minutos de Período de Indisponibilidade</w:t>
      </w:r>
      <w:r w:rsidRPr="00473DD3">
        <w:rPr>
          <w:b/>
          <w:color w:val="00188F"/>
        </w:rPr>
        <w:t>:</w:t>
      </w:r>
      <w:r>
        <w:t xml:space="preserve"> </w:t>
      </w:r>
      <w:r>
        <w:rPr>
          <w:szCs w:val="18"/>
        </w:rPr>
        <w:t>o total de minutos acumulados num Período Aplicável durante os quais todas as funcionalidades do Power BI listadas abaixo estão indisponíveis:</w:t>
      </w:r>
    </w:p>
    <w:p w14:paraId="0D632B65" w14:textId="77777777" w:rsidR="00595E65" w:rsidRDefault="00595E65" w:rsidP="00F01ED6">
      <w:pPr>
        <w:pStyle w:val="ProductList-Body"/>
        <w:ind w:left="187"/>
        <w:rPr>
          <w:szCs w:val="18"/>
        </w:rPr>
      </w:pPr>
      <w:r>
        <w:rPr>
          <w:b/>
          <w:color w:val="00188F"/>
        </w:rPr>
        <w:t>Ver:</w:t>
      </w:r>
      <w:r>
        <w:rPr>
          <w:szCs w:val="18"/>
        </w:rPr>
        <w:t xml:space="preserve"> ver Dashboards, Relatórios e Aplicações do Power BI no serviço.</w:t>
      </w:r>
    </w:p>
    <w:p w14:paraId="308484E7" w14:textId="69D95605" w:rsidR="00595E65" w:rsidRDefault="00595E65"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9964D4">
        <w:rPr>
          <w:szCs w:val="18"/>
        </w:rPr>
        <w:t> </w:t>
      </w:r>
      <w:r>
        <w:rPr>
          <w:szCs w:val="18"/>
        </w:rPr>
        <w:t>exemplo, o tamanho do conjunto de dados).</w:t>
      </w:r>
    </w:p>
    <w:p w14:paraId="66EB6922" w14:textId="337B19D1" w:rsidR="00595E65" w:rsidRDefault="00595E65"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9964D4">
        <w:rPr>
          <w:szCs w:val="18"/>
        </w:rPr>
        <w:t> </w:t>
      </w:r>
      <w:r>
        <w:rPr>
          <w:szCs w:val="18"/>
        </w:rPr>
        <w:t>as limitações da rede, locais do ambiente do cliente ou externas à Microsoft.</w:t>
      </w:r>
    </w:p>
    <w:p w14:paraId="49ECCD62" w14:textId="3CA45863" w:rsidR="00515EF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12E8E79" w14:textId="77777777" w:rsidR="009E2B16" w:rsidRDefault="009E2B16" w:rsidP="00F01ED6">
      <w:pPr>
        <w:pStyle w:val="ProductList-Body"/>
      </w:pPr>
    </w:p>
    <w:p w14:paraId="5A7E48F2" w14:textId="36A489C9" w:rsidR="00515EF4" w:rsidRPr="009E2B16" w:rsidRDefault="00000000" w:rsidP="00F01ED6">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Minutos de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2865395D" w14:textId="4A0086B0"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A9844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F01ED6">
            <w:pPr>
              <w:pStyle w:val="ProductList-OfferingBody"/>
              <w:jc w:val="center"/>
            </w:pPr>
            <w:r>
              <w:t>&lt; 99,9%</w:t>
            </w:r>
          </w:p>
        </w:tc>
        <w:tc>
          <w:tcPr>
            <w:tcW w:w="5400" w:type="dxa"/>
          </w:tcPr>
          <w:p w14:paraId="520BC18E" w14:textId="77777777" w:rsidR="00515EF4" w:rsidRPr="00EF7CF9" w:rsidRDefault="00515EF4" w:rsidP="00F01ED6">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F01ED6">
            <w:pPr>
              <w:pStyle w:val="ProductList-OfferingBody"/>
              <w:jc w:val="center"/>
            </w:pPr>
            <w:r>
              <w:t>&lt; 99%</w:t>
            </w:r>
          </w:p>
        </w:tc>
        <w:tc>
          <w:tcPr>
            <w:tcW w:w="5400" w:type="dxa"/>
          </w:tcPr>
          <w:p w14:paraId="7A5A5886" w14:textId="77777777" w:rsidR="00515EF4" w:rsidRPr="00EF7CF9" w:rsidRDefault="00515EF4" w:rsidP="00F01ED6">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F01ED6">
            <w:pPr>
              <w:pStyle w:val="ProductList-OfferingBody"/>
              <w:jc w:val="center"/>
            </w:pPr>
            <w:r>
              <w:t>&lt; 95%</w:t>
            </w:r>
          </w:p>
        </w:tc>
        <w:tc>
          <w:tcPr>
            <w:tcW w:w="5400" w:type="dxa"/>
          </w:tcPr>
          <w:p w14:paraId="41A062A9" w14:textId="77777777" w:rsidR="00515EF4" w:rsidRPr="00EF7CF9" w:rsidRDefault="00515EF4" w:rsidP="00F01ED6">
            <w:pPr>
              <w:pStyle w:val="ProductList-OfferingBody"/>
              <w:jc w:val="center"/>
            </w:pPr>
            <w:r>
              <w:t>100%</w:t>
            </w:r>
          </w:p>
        </w:tc>
      </w:tr>
    </w:tbl>
    <w:bookmarkStart w:id="450" w:name="_Toc457821596"/>
    <w:p w14:paraId="0F2C886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137B2B" w14:textId="5689697E" w:rsidR="00515EF4" w:rsidRPr="00EF7CF9" w:rsidRDefault="00515EF4" w:rsidP="00F01ED6">
      <w:pPr>
        <w:pStyle w:val="ProductList-Offering2Heading"/>
        <w:tabs>
          <w:tab w:val="clear" w:pos="360"/>
          <w:tab w:val="clear" w:pos="720"/>
          <w:tab w:val="clear" w:pos="1080"/>
        </w:tabs>
        <w:outlineLvl w:val="2"/>
      </w:pPr>
      <w:bookmarkStart w:id="451" w:name="_Toc182409756"/>
      <w:r>
        <w:t>API Translator</w:t>
      </w:r>
      <w:bookmarkEnd w:id="450"/>
      <w:bookmarkEnd w:id="451"/>
    </w:p>
    <w:p w14:paraId="0D68E64F" w14:textId="1CB465B2" w:rsidR="00515EF4" w:rsidRPr="00EF7CF9" w:rsidRDefault="00515EF4" w:rsidP="00F01ED6">
      <w:pPr>
        <w:pStyle w:val="ProductList-Body"/>
      </w:pPr>
      <w:r>
        <w:rPr>
          <w:b/>
          <w:color w:val="00188F"/>
        </w:rPr>
        <w:t>Período de Indisponibilidade</w:t>
      </w:r>
      <w:r w:rsidRPr="00473DD3">
        <w:rPr>
          <w:b/>
          <w:color w:val="00188F"/>
        </w:rPr>
        <w:t>:</w:t>
      </w:r>
      <w:r>
        <w:t xml:space="preserve"> </w:t>
      </w:r>
      <w:r>
        <w:rPr>
          <w:szCs w:val="18"/>
        </w:rPr>
        <w:t>Qualquer período de tempo em que os utilizadores não conseguem efetuar traduções.</w:t>
      </w:r>
    </w:p>
    <w:p w14:paraId="2A370CEF" w14:textId="5340E59C" w:rsidR="00515EF4"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6B8A33F" w14:textId="77777777" w:rsidR="009E2B16" w:rsidRPr="00EF7CF9" w:rsidRDefault="009E2B16" w:rsidP="00F01ED6">
      <w:pPr>
        <w:pStyle w:val="ProductList-Body"/>
      </w:pPr>
    </w:p>
    <w:p w14:paraId="728BF4C5" w14:textId="1B7FBE02" w:rsidR="00515EF4" w:rsidRPr="009E2B16" w:rsidRDefault="00000000" w:rsidP="00F01ED6">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E3A2E69" w14:textId="65F88F81" w:rsidR="00515EF4" w:rsidRPr="00EF7CF9" w:rsidRDefault="00D46DC5" w:rsidP="00F01ED6">
      <w:pPr>
        <w:pStyle w:val="ProductList-Body"/>
      </w:pPr>
      <w:r>
        <w:rPr>
          <w:szCs w:val="18"/>
        </w:rPr>
        <w:t>em que o Período de Indisponibilidade é medido como o número total de minutos durante o Período Aplicável quando os aspetos do Servidor estabelecidos acima estão indisponíveis.</w:t>
      </w:r>
    </w:p>
    <w:p w14:paraId="19DDBEB2" w14:textId="77777777" w:rsidR="00677E9A" w:rsidRDefault="00677E9A" w:rsidP="00D6770D">
      <w:pPr>
        <w:pStyle w:val="ProductList-Body"/>
        <w:keepNext/>
        <w:rPr>
          <w:b/>
          <w:color w:val="00188F"/>
        </w:rPr>
      </w:pPr>
    </w:p>
    <w:p w14:paraId="1A614EB8" w14:textId="299A272D" w:rsidR="00515EF4" w:rsidRPr="00EF7CF9" w:rsidRDefault="00515EF4" w:rsidP="00D6770D">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458E81"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F01ED6">
            <w:pPr>
              <w:pStyle w:val="ProductList-OfferingBody"/>
              <w:jc w:val="center"/>
            </w:pPr>
            <w:r>
              <w:t>&lt; 99,9%</w:t>
            </w:r>
          </w:p>
        </w:tc>
        <w:tc>
          <w:tcPr>
            <w:tcW w:w="5400" w:type="dxa"/>
          </w:tcPr>
          <w:p w14:paraId="086049F0" w14:textId="77777777" w:rsidR="00515EF4" w:rsidRPr="00EF7CF9" w:rsidRDefault="00515EF4" w:rsidP="00F01ED6">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F01ED6">
            <w:pPr>
              <w:pStyle w:val="ProductList-OfferingBody"/>
              <w:jc w:val="center"/>
            </w:pPr>
            <w:r>
              <w:t>&lt; 99%</w:t>
            </w:r>
          </w:p>
        </w:tc>
        <w:tc>
          <w:tcPr>
            <w:tcW w:w="5400" w:type="dxa"/>
          </w:tcPr>
          <w:p w14:paraId="3610FC92" w14:textId="77777777" w:rsidR="00515EF4" w:rsidRPr="00EF7CF9" w:rsidRDefault="00515EF4" w:rsidP="00F01ED6">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F01ED6">
            <w:pPr>
              <w:pStyle w:val="ProductList-OfferingBody"/>
              <w:jc w:val="center"/>
            </w:pPr>
            <w:r>
              <w:t>&lt; 95%</w:t>
            </w:r>
          </w:p>
        </w:tc>
        <w:tc>
          <w:tcPr>
            <w:tcW w:w="5400" w:type="dxa"/>
          </w:tcPr>
          <w:p w14:paraId="55A96903" w14:textId="77777777" w:rsidR="00515EF4" w:rsidRPr="00EF7CF9" w:rsidRDefault="00515EF4" w:rsidP="00F01ED6">
            <w:pPr>
              <w:pStyle w:val="ProductList-OfferingBody"/>
              <w:jc w:val="center"/>
            </w:pPr>
            <w:r>
              <w:t>100%</w:t>
            </w:r>
          </w:p>
        </w:tc>
      </w:tr>
    </w:tbl>
    <w:bookmarkStart w:id="452" w:name="MDATP"/>
    <w:bookmarkStart w:id="453" w:name="_Toc13833097"/>
    <w:bookmarkStart w:id="454" w:name="_Toc55920329"/>
    <w:p w14:paraId="10891EA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BD66AE" w14:textId="77777777" w:rsidR="00657A3A" w:rsidRPr="00EF7CF9" w:rsidRDefault="00657A3A" w:rsidP="00BC65E9">
      <w:pPr>
        <w:pStyle w:val="ProductList-Offering2Heading"/>
        <w:tabs>
          <w:tab w:val="clear" w:pos="360"/>
          <w:tab w:val="clear" w:pos="720"/>
          <w:tab w:val="clear" w:pos="1080"/>
        </w:tabs>
        <w:outlineLvl w:val="2"/>
      </w:pPr>
      <w:bookmarkStart w:id="455" w:name="_Toc182409757"/>
      <w:r>
        <w:t xml:space="preserve">Microsoft Defender </w:t>
      </w:r>
      <w:bookmarkEnd w:id="452"/>
      <w:bookmarkEnd w:id="453"/>
      <w:r>
        <w:t>para Endpoint</w:t>
      </w:r>
      <w:bookmarkEnd w:id="454"/>
      <w:bookmarkEnd w:id="455"/>
    </w:p>
    <w:p w14:paraId="25190B3D" w14:textId="77777777" w:rsidR="00657A3A" w:rsidRPr="00EF7CF9" w:rsidRDefault="00657A3A" w:rsidP="00F01ED6">
      <w:pPr>
        <w:pStyle w:val="ProductList-Body"/>
        <w:rPr>
          <w:b/>
          <w:color w:val="00188F"/>
        </w:rPr>
      </w:pPr>
      <w:r>
        <w:rPr>
          <w:b/>
          <w:color w:val="00188F"/>
        </w:rPr>
        <w:t>Definições Adicionais</w:t>
      </w:r>
      <w:r w:rsidRPr="00473DD3">
        <w:rPr>
          <w:b/>
          <w:color w:val="00188F"/>
        </w:rPr>
        <w:t>:</w:t>
      </w:r>
    </w:p>
    <w:p w14:paraId="4CD0D776" w14:textId="1A634F45" w:rsidR="00657A3A" w:rsidRPr="00EF7CF9" w:rsidRDefault="00380305" w:rsidP="00F01ED6">
      <w:pPr>
        <w:pStyle w:val="ProductList-Body"/>
        <w:spacing w:after="40"/>
      </w:pPr>
      <w:r>
        <w:t>“</w:t>
      </w:r>
      <w:r w:rsidR="00657A3A">
        <w:rPr>
          <w:b/>
          <w:color w:val="00188F"/>
        </w:rPr>
        <w:t>Máximo de Minutos Disponíveis</w:t>
      </w:r>
      <w:r>
        <w:t>”</w:t>
      </w:r>
      <w:r w:rsidR="00657A3A">
        <w:t xml:space="preserve"> designa o total de minutos acumulados durante um Período Aplicável para o portal do Microsoft Defender para Endpoint. O Máximo de Minutos Disponíveis é medido a partir do momento em que o Inquilino foi criado em resultado da conclusão com êxito do processo de integração.</w:t>
      </w:r>
    </w:p>
    <w:p w14:paraId="02E69B78" w14:textId="26E451E6" w:rsidR="00657A3A" w:rsidRPr="00EF7CF9" w:rsidRDefault="00380305" w:rsidP="00F01ED6">
      <w:pPr>
        <w:pStyle w:val="ProductList-Body"/>
      </w:pPr>
      <w:r>
        <w:t>“</w:t>
      </w:r>
      <w:r w:rsidR="00657A3A">
        <w:rPr>
          <w:b/>
          <w:color w:val="00188F"/>
        </w:rPr>
        <w:t>Inquilino</w:t>
      </w:r>
      <w:r>
        <w:t>”</w:t>
      </w:r>
      <w:r w:rsidR="00657A3A">
        <w:t xml:space="preserve"> representa o ambiente na nuvem específico do cliente do Microsoft Defender para Endpoint.</w:t>
      </w:r>
    </w:p>
    <w:p w14:paraId="7AA0C3CA" w14:textId="2E913705" w:rsidR="00021F08" w:rsidRPr="00EF7CF9" w:rsidRDefault="00657A3A" w:rsidP="00F01ED6">
      <w:pPr>
        <w:pStyle w:val="ProductList-Body"/>
      </w:pPr>
      <w:r>
        <w:rPr>
          <w:b/>
          <w:color w:val="00188F"/>
        </w:rPr>
        <w:t>Período de Indisponibilidade</w:t>
      </w:r>
      <w:r w:rsidRPr="00473DD3">
        <w:rPr>
          <w:b/>
          <w:color w:val="00188F"/>
        </w:rPr>
        <w:t>:</w:t>
      </w:r>
      <w:r>
        <w:t xml:space="preserve"> </w:t>
      </w:r>
      <w:r>
        <w:rPr>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t>.</w:t>
      </w:r>
    </w:p>
    <w:p w14:paraId="5AAD706D" w14:textId="77777777" w:rsidR="00BC681F" w:rsidRPr="00EF7CF9" w:rsidRDefault="00BC681F" w:rsidP="00F01ED6">
      <w:pPr>
        <w:pStyle w:val="ProductList-Body"/>
      </w:pPr>
    </w:p>
    <w:p w14:paraId="4ABEE834" w14:textId="53DE7AC5" w:rsidR="00BC681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8DEEE3B" w14:textId="77777777" w:rsidR="00BC681F" w:rsidRPr="00EF7CF9" w:rsidRDefault="00BC681F" w:rsidP="00F01ED6">
      <w:pPr>
        <w:pStyle w:val="ProductList-Body"/>
      </w:pPr>
    </w:p>
    <w:p w14:paraId="3B661105" w14:textId="20C1014B" w:rsidR="00BC681F"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5A7C083" w14:textId="65E73718" w:rsidR="00BC681F" w:rsidRPr="00EF7CF9" w:rsidRDefault="00AC48A7" w:rsidP="00F01ED6">
      <w:pPr>
        <w:pStyle w:val="ProductList-Body"/>
        <w:ind w:right="162"/>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291E374" w14:textId="77777777" w:rsidR="005C601C" w:rsidRPr="00160676" w:rsidRDefault="005C601C" w:rsidP="00F01ED6">
      <w:pPr>
        <w:pStyle w:val="ProductList-Body"/>
        <w:rPr>
          <w:sz w:val="12"/>
          <w:szCs w:val="12"/>
        </w:rPr>
      </w:pPr>
    </w:p>
    <w:p w14:paraId="2103A3BF" w14:textId="06BC9684" w:rsidR="00BC681F" w:rsidRPr="00EF7CF9" w:rsidRDefault="00BC681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B61998" w14:textId="77777777" w:rsidR="00BC681F" w:rsidRPr="00EF7CF9" w:rsidRDefault="00BC681F" w:rsidP="00F01ED6">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F01ED6">
            <w:pPr>
              <w:pStyle w:val="ProductList-OfferingBody"/>
              <w:jc w:val="center"/>
            </w:pPr>
            <w:r>
              <w:t>&lt; 99,9%</w:t>
            </w:r>
          </w:p>
        </w:tc>
        <w:tc>
          <w:tcPr>
            <w:tcW w:w="5400" w:type="dxa"/>
          </w:tcPr>
          <w:p w14:paraId="57FBED7E" w14:textId="77777777" w:rsidR="00BC681F" w:rsidRPr="00EF7CF9" w:rsidRDefault="00BC681F" w:rsidP="00F01ED6">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F01ED6">
            <w:pPr>
              <w:pStyle w:val="ProductList-OfferingBody"/>
              <w:jc w:val="center"/>
            </w:pPr>
            <w:r>
              <w:t>&lt; 99%</w:t>
            </w:r>
          </w:p>
        </w:tc>
        <w:tc>
          <w:tcPr>
            <w:tcW w:w="5400" w:type="dxa"/>
          </w:tcPr>
          <w:p w14:paraId="40C5339D" w14:textId="77777777" w:rsidR="00BC681F" w:rsidRPr="00EF7CF9" w:rsidRDefault="00BC681F" w:rsidP="00F01ED6">
            <w:pPr>
              <w:pStyle w:val="ProductList-OfferingBody"/>
              <w:keepNext/>
              <w:jc w:val="center"/>
            </w:pPr>
            <w:r>
              <w:t>25%</w:t>
            </w:r>
          </w:p>
        </w:tc>
      </w:tr>
    </w:tbl>
    <w:p w14:paraId="58D713F0" w14:textId="77777777" w:rsidR="00BC681F" w:rsidRPr="00160676" w:rsidRDefault="00BC681F" w:rsidP="00F01ED6">
      <w:pPr>
        <w:pStyle w:val="ProductList-Body"/>
        <w:rPr>
          <w:sz w:val="12"/>
          <w:szCs w:val="12"/>
        </w:rPr>
      </w:pPr>
    </w:p>
    <w:p w14:paraId="4E24C9C9" w14:textId="0B9F0537" w:rsidR="00BC681F" w:rsidRPr="00EF7CF9" w:rsidRDefault="00BC681F" w:rsidP="00F01ED6">
      <w:pPr>
        <w:pStyle w:val="ProductList-Body"/>
      </w:pPr>
      <w:r>
        <w:rPr>
          <w:b/>
          <w:color w:val="00188F"/>
        </w:rPr>
        <w:t>Exceções de Nível de Serviço</w:t>
      </w:r>
      <w:r w:rsidRPr="00473DD3">
        <w:rPr>
          <w:b/>
          <w:color w:val="00188F"/>
        </w:rPr>
        <w:t>:</w:t>
      </w:r>
      <w:r>
        <w:t xml:space="preserve"> Este SLA não é aplicável a nenhum Inquilino da versão de avaliação/pré-visualização.</w:t>
      </w:r>
    </w:p>
    <w:p w14:paraId="48AF34F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C55BF7" w14:textId="3CBD6EA7" w:rsidR="00696175" w:rsidRPr="00EF7CF9" w:rsidRDefault="00696175" w:rsidP="00E46FF7">
      <w:pPr>
        <w:pStyle w:val="ProductList-Offering2Heading"/>
        <w:keepNext/>
        <w:tabs>
          <w:tab w:val="clear" w:pos="360"/>
          <w:tab w:val="clear" w:pos="720"/>
          <w:tab w:val="clear" w:pos="1080"/>
        </w:tabs>
        <w:outlineLvl w:val="2"/>
      </w:pPr>
      <w:bookmarkStart w:id="456" w:name="_Toc182409758"/>
      <w:r>
        <w:t>Impressão Universal</w:t>
      </w:r>
      <w:bookmarkEnd w:id="456"/>
    </w:p>
    <w:p w14:paraId="34AD3F7C" w14:textId="3DED085E" w:rsidR="00696175" w:rsidRPr="00EF7CF9" w:rsidRDefault="00696175" w:rsidP="00F01ED6">
      <w:pPr>
        <w:pStyle w:val="ProductList-Body"/>
      </w:pPr>
      <w:r>
        <w:rPr>
          <w:b/>
          <w:color w:val="00188F"/>
        </w:rPr>
        <w:t>Período de Indisponibilidade</w:t>
      </w:r>
      <w:r w:rsidRPr="00473DD3">
        <w:rPr>
          <w:b/>
          <w:color w:val="00188F"/>
        </w:rPr>
        <w:t>:</w:t>
      </w:r>
      <w:r>
        <w:t xml:space="preserve"> Qualquer período durante a qual a indisponibilidade do Serviço de Impressão Universal resulta na incapacidade dos</w:t>
      </w:r>
      <w:r w:rsidR="005A2543">
        <w:t> </w:t>
      </w:r>
      <w:r>
        <w:t>utilizadores de detetarem impressoras ou enviarem trabalhos de impressão, ou na incapacidade dos administradores registarem ou configurarem impressoras, gerirem o controlo de acesso ou monitorizarem o estado e a utilização da Impressão Universal.</w:t>
      </w:r>
    </w:p>
    <w:p w14:paraId="6A0FEE09" w14:textId="6AE0C5EB" w:rsidR="0069617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684C307" w14:textId="20912333" w:rsidR="00696175" w:rsidRPr="00EF7CF9" w:rsidRDefault="00000000" w:rsidP="00677E9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3A9CF0" w14:textId="75E878C2" w:rsidR="00696175" w:rsidRDefault="00AC48A7" w:rsidP="00F01ED6">
      <w:pPr>
        <w:pStyle w:val="ProductList-Body"/>
        <w:ind w:right="117"/>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BB12749" w14:textId="77777777" w:rsidR="00BC65E9" w:rsidRPr="00EF7CF9" w:rsidRDefault="00BC65E9" w:rsidP="00F01ED6">
      <w:pPr>
        <w:pStyle w:val="ProductList-Body"/>
        <w:ind w:right="117"/>
        <w:rPr>
          <w:szCs w:val="18"/>
        </w:rPr>
      </w:pPr>
    </w:p>
    <w:p w14:paraId="52F16555" w14:textId="77777777" w:rsidR="00696175" w:rsidRPr="00EF7CF9" w:rsidRDefault="0069617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0EB39DC" w14:textId="77777777" w:rsidR="00696175" w:rsidRPr="00EF7CF9" w:rsidRDefault="00696175" w:rsidP="00F01ED6">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F01ED6">
            <w:pPr>
              <w:pStyle w:val="ProductList-OfferingBody"/>
              <w:jc w:val="center"/>
            </w:pPr>
            <w:r>
              <w:t>&lt; 99,9%</w:t>
            </w:r>
          </w:p>
        </w:tc>
        <w:tc>
          <w:tcPr>
            <w:tcW w:w="5400" w:type="dxa"/>
          </w:tcPr>
          <w:p w14:paraId="22427645" w14:textId="23BDD206" w:rsidR="00696175" w:rsidRPr="00EF7CF9" w:rsidRDefault="00696175" w:rsidP="00F01ED6">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F01ED6">
            <w:pPr>
              <w:pStyle w:val="ProductList-OfferingBody"/>
              <w:jc w:val="center"/>
            </w:pPr>
            <w:r>
              <w:t>&lt; 99%</w:t>
            </w:r>
          </w:p>
        </w:tc>
        <w:tc>
          <w:tcPr>
            <w:tcW w:w="5400" w:type="dxa"/>
          </w:tcPr>
          <w:p w14:paraId="524FA505" w14:textId="32153C6C" w:rsidR="00696175" w:rsidRPr="00EF7CF9" w:rsidRDefault="00696175" w:rsidP="00F01ED6">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F01ED6">
            <w:pPr>
              <w:pStyle w:val="ProductList-OfferingBody"/>
              <w:jc w:val="center"/>
            </w:pPr>
            <w:r>
              <w:t>&lt; 95%</w:t>
            </w:r>
          </w:p>
        </w:tc>
        <w:tc>
          <w:tcPr>
            <w:tcW w:w="5400" w:type="dxa"/>
          </w:tcPr>
          <w:p w14:paraId="28D8DB21" w14:textId="6C113F7D" w:rsidR="00696175" w:rsidRDefault="00696175" w:rsidP="00F01ED6">
            <w:pPr>
              <w:pStyle w:val="ProductList-OfferingBody"/>
              <w:keepNext/>
              <w:jc w:val="center"/>
            </w:pPr>
            <w:r>
              <w:t>100%</w:t>
            </w:r>
          </w:p>
        </w:tc>
      </w:tr>
    </w:tbl>
    <w:p w14:paraId="5F8939BC" w14:textId="77777777" w:rsidR="00696175" w:rsidRPr="00EF7CF9" w:rsidRDefault="00696175" w:rsidP="004B4212">
      <w:pPr>
        <w:pStyle w:val="ProductList-Body"/>
        <w:spacing w:before="120"/>
      </w:pPr>
      <w:r>
        <w:rPr>
          <w:b/>
          <w:color w:val="00188F"/>
        </w:rPr>
        <w:t>Exceções de Nível de Serviço</w:t>
      </w:r>
      <w:r w:rsidRPr="00473DD3">
        <w:rPr>
          <w:b/>
          <w:color w:val="00188F"/>
        </w:rPr>
        <w:t>:</w:t>
      </w:r>
      <w:r>
        <w:t xml:space="preserve"> Este SLA não é aplicável a nenhum Inquilino da versão de avaliação/pré-visualização.</w:t>
      </w:r>
    </w:p>
    <w:p w14:paraId="42942A0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96CC1C1" w14:textId="4EA85D6B" w:rsidR="00347E88" w:rsidRPr="00EF7CF9" w:rsidRDefault="00347E88" w:rsidP="00BC65E9">
      <w:pPr>
        <w:pStyle w:val="ProductList-Offering2Heading"/>
        <w:tabs>
          <w:tab w:val="clear" w:pos="360"/>
          <w:tab w:val="clear" w:pos="720"/>
          <w:tab w:val="clear" w:pos="1080"/>
        </w:tabs>
        <w:outlineLvl w:val="2"/>
      </w:pPr>
      <w:bookmarkStart w:id="457" w:name="_Toc182409759"/>
      <w:r>
        <w:t>Windows 365</w:t>
      </w:r>
      <w:bookmarkEnd w:id="457"/>
    </w:p>
    <w:p w14:paraId="37DB27AD" w14:textId="77911C6A" w:rsidR="00200E38" w:rsidRDefault="00200E38" w:rsidP="00DC1476">
      <w:pPr>
        <w:pStyle w:val="ProductList-Body"/>
        <w:keepNext/>
        <w:keepLines/>
      </w:pPr>
      <w:r>
        <w:rPr>
          <w:b/>
          <w:color w:val="00188F"/>
        </w:rPr>
        <w:t>PC na Nuvem:</w:t>
      </w:r>
      <w:r>
        <w:t xml:space="preserve"> a instância específica do Windows 365 licenciado a um utilizador.</w:t>
      </w:r>
    </w:p>
    <w:p w14:paraId="6D8DDD3B" w14:textId="2E85E124" w:rsidR="00200E38" w:rsidRDefault="00200E38" w:rsidP="00F01ED6">
      <w:pPr>
        <w:pStyle w:val="ProductList-Body"/>
      </w:pPr>
      <w:r>
        <w:rPr>
          <w:b/>
          <w:color w:val="00188F"/>
        </w:rPr>
        <w:t>Período de Indisponibilidade:</w:t>
      </w:r>
      <w:r>
        <w:t xml:space="preserve"> medido em minutos, o período durante o qual todas as tentativas de ligação por um utilizador específico a um PC na</w:t>
      </w:r>
      <w:r w:rsidR="00A631CA">
        <w:t> </w:t>
      </w:r>
      <w:r>
        <w:t>nuvem específico não tiverem êxito, excluindo qualquer um dos seguintes tipos de falhas:</w:t>
      </w:r>
    </w:p>
    <w:p w14:paraId="766D01EA" w14:textId="6150CE49" w:rsidR="00200E38" w:rsidRDefault="00200E38" w:rsidP="00BD698C">
      <w:pPr>
        <w:pStyle w:val="ProductList-Body"/>
        <w:numPr>
          <w:ilvl w:val="0"/>
          <w:numId w:val="37"/>
        </w:numPr>
      </w:pPr>
      <w:r>
        <w:t>As falhas resultantes de o PC em Nuvem estar num estado inoperável não relacionado com a infraestrutura do Azure subjacente (por</w:t>
      </w:r>
      <w:r w:rsidR="00A631CA">
        <w:t> </w:t>
      </w:r>
      <w:r>
        <w:t>exemplo, sistema operativo, configuração do sistema operativo ou configuração incorreta ou danificada); e</w:t>
      </w:r>
    </w:p>
    <w:p w14:paraId="4EEF53FC" w14:textId="23D90CA7" w:rsidR="00200E38" w:rsidRDefault="00200E38" w:rsidP="00BD698C">
      <w:pPr>
        <w:pStyle w:val="ProductList-Body"/>
        <w:numPr>
          <w:ilvl w:val="0"/>
          <w:numId w:val="37"/>
        </w:numPr>
      </w:pPr>
      <w:r>
        <w:t>Falha resultante de uma aplicação ou outro software instalado no PC em Nuvem.</w:t>
      </w:r>
    </w:p>
    <w:p w14:paraId="417F8AB8" w14:textId="77777777" w:rsidR="00D77FA0" w:rsidRDefault="00D77FA0" w:rsidP="00F01ED6">
      <w:pPr>
        <w:pStyle w:val="ProductList-Body"/>
      </w:pPr>
    </w:p>
    <w:p w14:paraId="4E75CCA1" w14:textId="708DB12B" w:rsidR="00200E38" w:rsidRDefault="00200E38" w:rsidP="00E46FF7">
      <w:pPr>
        <w:pStyle w:val="ProductList-Body"/>
        <w:spacing w:before="120" w:after="120"/>
      </w:pPr>
      <w:r>
        <w:rPr>
          <w:b/>
          <w:color w:val="00188F"/>
        </w:rPr>
        <w:t>Período de Indisponibilidade Individual</w:t>
      </w:r>
      <w:r w:rsidRPr="00473DD3">
        <w:rPr>
          <w:b/>
          <w:color w:val="00188F"/>
        </w:rPr>
        <w:t>:</w:t>
      </w:r>
      <w:r>
        <w:t xml:space="preserve"> designa o Período de Indisponibilidade para um determinado utilizador para cada Período Aplicável.</w:t>
      </w:r>
    </w:p>
    <w:p w14:paraId="18380D6A" w14:textId="06D2C353" w:rsidR="00200E38" w:rsidRDefault="00200E38" w:rsidP="00E46FF7">
      <w:pPr>
        <w:pStyle w:val="ProductList-Body"/>
        <w:spacing w:before="120" w:after="120"/>
      </w:pPr>
      <w:r>
        <w:rPr>
          <w:b/>
          <w:color w:val="00188F"/>
        </w:rPr>
        <w:t>Minutos Individuais</w:t>
      </w:r>
      <w:r w:rsidRPr="00473DD3">
        <w:rPr>
          <w:b/>
          <w:color w:val="00188F"/>
        </w:rPr>
        <w:t>:</w:t>
      </w:r>
      <w:r>
        <w:t xml:space="preserve"> designa os Minutos de Utilizador para um determinado utilizador para cada Período Aplicável.</w:t>
      </w:r>
    </w:p>
    <w:p w14:paraId="4238E22F" w14:textId="786ABE29" w:rsidR="00EA5FB1" w:rsidRDefault="00200E38" w:rsidP="00E46FF7">
      <w:pPr>
        <w:pStyle w:val="ProductList-Body"/>
        <w:tabs>
          <w:tab w:val="clear" w:pos="360"/>
          <w:tab w:val="clear" w:pos="720"/>
          <w:tab w:val="clear" w:pos="1080"/>
        </w:tabs>
        <w:spacing w:before="120" w:after="120"/>
      </w:pPr>
      <w:r>
        <w:rPr>
          <w:b/>
          <w:color w:val="00188F"/>
        </w:rPr>
        <w:t>Percentagem de Período de Disponibilidade Individual</w:t>
      </w:r>
      <w:r w:rsidRPr="00473DD3">
        <w:rPr>
          <w:b/>
          <w:color w:val="00188F"/>
        </w:rPr>
        <w:t>:</w:t>
      </w:r>
      <w:r>
        <w:t xml:space="preserve"> A Percentagem de Período de Disponibilidade Individual é calculada da seguinte forma:</w:t>
      </w:r>
    </w:p>
    <w:p w14:paraId="69ABA1CA" w14:textId="0A85E1C0" w:rsidR="00D77FA0" w:rsidRPr="00EF7CF9" w:rsidRDefault="00000000" w:rsidP="00ED3D82">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Individuais - Período de Indisponibilidade Individual</m:t>
              </m:r>
            </m:num>
            <m:den>
              <m:r>
                <m:rPr>
                  <m:nor/>
                </m:rPr>
                <w:rPr>
                  <w:rFonts w:ascii="Cambria Math" w:hAnsi="Cambria Math" w:cs="Calibri"/>
                  <w:i/>
                  <w:iCs/>
                  <w:sz w:val="18"/>
                  <w:szCs w:val="18"/>
                </w:rPr>
                <m:t>Minutos Individuais</m:t>
              </m:r>
            </m:den>
          </m:f>
          <m:r>
            <w:rPr>
              <w:rFonts w:ascii="Cambria Math" w:hAnsi="Cambria Math" w:cs="Calibri"/>
              <w:sz w:val="18"/>
              <w:szCs w:val="18"/>
            </w:rPr>
            <m:t xml:space="preserve"> x 100</m:t>
          </m:r>
        </m:oMath>
      </m:oMathPara>
    </w:p>
    <w:p w14:paraId="25C1B4C6" w14:textId="77777777" w:rsidR="00E46FF7" w:rsidRDefault="00E46FF7" w:rsidP="00F01ED6">
      <w:pPr>
        <w:pStyle w:val="ProductList-Body"/>
        <w:tabs>
          <w:tab w:val="clear" w:pos="360"/>
          <w:tab w:val="clear" w:pos="720"/>
          <w:tab w:val="clear" w:pos="1080"/>
        </w:tabs>
        <w:rPr>
          <w:b/>
          <w:color w:val="00188F"/>
        </w:rPr>
      </w:pPr>
    </w:p>
    <w:p w14:paraId="4D9462D2" w14:textId="3FA7DC78" w:rsidR="00D77FA0" w:rsidRDefault="0095373D" w:rsidP="00F01ED6">
      <w:pPr>
        <w:pStyle w:val="ProductList-Body"/>
        <w:tabs>
          <w:tab w:val="clear" w:pos="360"/>
          <w:tab w:val="clear" w:pos="720"/>
          <w:tab w:val="clear" w:pos="1080"/>
        </w:tabs>
      </w:pPr>
      <w:r>
        <w:rPr>
          <w:b/>
          <w:color w:val="00188F"/>
        </w:rPr>
        <w:t>Crédito Por Utilizador</w:t>
      </w:r>
      <w:r w:rsidRPr="00473DD3">
        <w:rPr>
          <w:b/>
          <w:color w:val="00188F"/>
        </w:rPr>
        <w:t>:</w:t>
      </w:r>
      <w:r>
        <w:t xml:space="preserve"> Para um Período Aplicável em que a Percentagem de Período de Disponibilidade Regional é inferior a 99,9%, um Crédito Por</w:t>
      </w:r>
      <w:r w:rsidR="00356662">
        <w:t> </w:t>
      </w:r>
      <w:r>
        <w:t>Utilizador será calculado como uma percentagem da parte por utilizador dos Honorários dos Serviços Aplicáveis para cada utilizador para o</w:t>
      </w:r>
      <w:r w:rsidR="00356662">
        <w:t> </w:t>
      </w:r>
      <w:r>
        <w:t>qual</w:t>
      </w:r>
      <w:r w:rsidR="00356662">
        <w:t> </w:t>
      </w:r>
      <w:r>
        <w:t>a Percentagem de Período de Disponibilidade Individual foi inferior a 99,9%, segundo a seguinte tabela (desde que, no entanto, qualquer Percentagem de Período de Disponibilidade Individual que seja inferior à Percentagem de Período de Disponibilidade Regional seja considerada igual à Percentagem de Período de Disponibilidade Regional):</w:t>
      </w:r>
    </w:p>
    <w:p w14:paraId="0AFDB54F" w14:textId="77777777" w:rsidR="00287717" w:rsidRDefault="00287717" w:rsidP="00F01ED6">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F01ED6">
            <w:pPr>
              <w:pStyle w:val="ProductList-OfferingBody"/>
              <w:jc w:val="center"/>
              <w:rPr>
                <w:color w:val="FFFFFF" w:themeColor="background1"/>
              </w:rPr>
            </w:pPr>
            <w:r>
              <w:rPr>
                <w:color w:val="FFFFFF" w:themeColor="background1"/>
              </w:rPr>
              <w:t>Percentagem de Período de Disponibilidade Individual</w:t>
            </w:r>
          </w:p>
        </w:tc>
        <w:tc>
          <w:tcPr>
            <w:tcW w:w="5400" w:type="dxa"/>
            <w:shd w:val="clear" w:color="auto" w:fill="0072C6"/>
          </w:tcPr>
          <w:p w14:paraId="398F011A" w14:textId="1A824ABD" w:rsidR="006E50E4" w:rsidRPr="00EF7CF9" w:rsidRDefault="006E50E4" w:rsidP="00F01ED6">
            <w:pPr>
              <w:pStyle w:val="ProductList-OfferingBody"/>
              <w:jc w:val="center"/>
              <w:rPr>
                <w:color w:val="FFFFFF" w:themeColor="background1"/>
              </w:rPr>
            </w:pPr>
            <w:r>
              <w:rPr>
                <w:color w:val="FFFFFF" w:themeColor="background1"/>
              </w:rPr>
              <w:t>Crédito Por Utilizador</w:t>
            </w:r>
          </w:p>
        </w:tc>
      </w:tr>
      <w:tr w:rsidR="006E50E4" w:rsidRPr="00B44CF9" w14:paraId="5E3BA46F" w14:textId="77777777" w:rsidTr="00277097">
        <w:tc>
          <w:tcPr>
            <w:tcW w:w="5400" w:type="dxa"/>
          </w:tcPr>
          <w:p w14:paraId="6EF6A06C" w14:textId="77777777" w:rsidR="006E50E4" w:rsidRPr="00EF7CF9" w:rsidRDefault="006E50E4" w:rsidP="00F01ED6">
            <w:pPr>
              <w:pStyle w:val="ProductList-OfferingBody"/>
              <w:jc w:val="center"/>
            </w:pPr>
            <w:r>
              <w:t>&lt; 99,9%</w:t>
            </w:r>
          </w:p>
        </w:tc>
        <w:tc>
          <w:tcPr>
            <w:tcW w:w="5400" w:type="dxa"/>
          </w:tcPr>
          <w:p w14:paraId="0675549C" w14:textId="61EAD653" w:rsidR="006E50E4" w:rsidRPr="00EF7CF9" w:rsidRDefault="006E50E4" w:rsidP="00F01ED6">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F01ED6">
            <w:pPr>
              <w:pStyle w:val="ProductList-OfferingBody"/>
              <w:jc w:val="center"/>
            </w:pPr>
            <w:r>
              <w:t>&lt; 99%</w:t>
            </w:r>
          </w:p>
        </w:tc>
        <w:tc>
          <w:tcPr>
            <w:tcW w:w="5400" w:type="dxa"/>
          </w:tcPr>
          <w:p w14:paraId="3968E6C7" w14:textId="7C215A6B" w:rsidR="006E50E4" w:rsidRPr="00EF7CF9" w:rsidRDefault="006E50E4" w:rsidP="00F01ED6">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F01ED6">
            <w:pPr>
              <w:pStyle w:val="ProductList-OfferingBody"/>
              <w:jc w:val="center"/>
            </w:pPr>
            <w:r>
              <w:t>&lt; 95%</w:t>
            </w:r>
          </w:p>
        </w:tc>
        <w:tc>
          <w:tcPr>
            <w:tcW w:w="5400" w:type="dxa"/>
          </w:tcPr>
          <w:p w14:paraId="4F9A94D7" w14:textId="77777777" w:rsidR="006E50E4" w:rsidRDefault="006E50E4" w:rsidP="00F01ED6">
            <w:pPr>
              <w:pStyle w:val="ProductList-OfferingBody"/>
              <w:keepNext/>
              <w:jc w:val="center"/>
            </w:pPr>
            <w:r>
              <w:t>100%</w:t>
            </w:r>
          </w:p>
        </w:tc>
      </w:tr>
    </w:tbl>
    <w:p w14:paraId="79484202" w14:textId="251DEECD" w:rsidR="006E50E4" w:rsidRPr="00160676" w:rsidRDefault="006E50E4" w:rsidP="00F01ED6">
      <w:pPr>
        <w:pStyle w:val="ProductList-Body"/>
        <w:tabs>
          <w:tab w:val="clear" w:pos="360"/>
          <w:tab w:val="clear" w:pos="720"/>
          <w:tab w:val="clear" w:pos="1080"/>
        </w:tabs>
        <w:rPr>
          <w:sz w:val="12"/>
          <w:szCs w:val="12"/>
        </w:rPr>
      </w:pPr>
    </w:p>
    <w:p w14:paraId="49E5A2C2" w14:textId="253D4243" w:rsidR="00417DC1" w:rsidRDefault="00417DC1" w:rsidP="00F01ED6">
      <w:pPr>
        <w:pStyle w:val="ProductList-Body"/>
      </w:pPr>
      <w:r>
        <w:rPr>
          <w:b/>
          <w:color w:val="00188F"/>
        </w:rPr>
        <w:t>Região</w:t>
      </w:r>
      <w:r w:rsidRPr="00473DD3">
        <w:rPr>
          <w:b/>
          <w:color w:val="00188F"/>
        </w:rPr>
        <w:t>:</w:t>
      </w:r>
      <w:r>
        <w:t xml:space="preserve"> designa as regiões detalhadas em: </w:t>
      </w:r>
      <w:hyperlink r:id="rId29" w:history="1">
        <w:r>
          <w:rPr>
            <w:rStyle w:val="Hyperlink"/>
          </w:rPr>
          <w:t>https://aka.ms/DSLARegionLink</w:t>
        </w:r>
      </w:hyperlink>
      <w:r>
        <w:t>.</w:t>
      </w:r>
    </w:p>
    <w:p w14:paraId="09A1D24F" w14:textId="7D7203C6" w:rsidR="00417DC1" w:rsidRDefault="00417DC1" w:rsidP="00E46FF7">
      <w:pPr>
        <w:pStyle w:val="ProductList-Body"/>
        <w:spacing w:before="120" w:after="120"/>
      </w:pPr>
      <w:r>
        <w:rPr>
          <w:b/>
          <w:color w:val="00188F"/>
        </w:rPr>
        <w:t>Período de Indisponibilidade Regional</w:t>
      </w:r>
      <w:r w:rsidRPr="00473DD3">
        <w:rPr>
          <w:b/>
          <w:color w:val="00188F"/>
        </w:rPr>
        <w:t>:</w:t>
      </w:r>
      <w:r>
        <w:t xml:space="preserve"> designa a soma de todo o Período de Indisponibilidade numa Região para cada Período Aplicável.</w:t>
      </w:r>
    </w:p>
    <w:p w14:paraId="200DCE68" w14:textId="1A07C84E" w:rsidR="00417DC1" w:rsidRDefault="00417DC1" w:rsidP="00E46FF7">
      <w:pPr>
        <w:pStyle w:val="ProductList-Body"/>
        <w:spacing w:before="120" w:after="120"/>
      </w:pPr>
      <w:r>
        <w:rPr>
          <w:b/>
          <w:color w:val="00188F"/>
        </w:rPr>
        <w:t>Minutos Regionais</w:t>
      </w:r>
      <w:r w:rsidRPr="00473DD3">
        <w:rPr>
          <w:b/>
          <w:color w:val="00188F"/>
        </w:rPr>
        <w:t>:</w:t>
      </w:r>
      <w:r>
        <w:t xml:space="preserve"> designa os Minutos de Utilizador numa Região para cada Período Aplicável.</w:t>
      </w:r>
    </w:p>
    <w:p w14:paraId="085EE300" w14:textId="0311D765" w:rsidR="00417DC1" w:rsidRDefault="00417DC1" w:rsidP="00E46FF7">
      <w:pPr>
        <w:pStyle w:val="ProductList-Body"/>
        <w:tabs>
          <w:tab w:val="clear" w:pos="360"/>
          <w:tab w:val="clear" w:pos="720"/>
          <w:tab w:val="clear" w:pos="1080"/>
        </w:tabs>
        <w:spacing w:before="120" w:after="120"/>
      </w:pPr>
      <w:r>
        <w:rPr>
          <w:b/>
          <w:color w:val="00188F"/>
        </w:rPr>
        <w:t>Percentagem de Período de Disponibilidade Regional</w:t>
      </w:r>
      <w:r w:rsidRPr="00473DD3">
        <w:rPr>
          <w:b/>
          <w:color w:val="00188F"/>
        </w:rPr>
        <w:t>:</w:t>
      </w:r>
      <w:r>
        <w:t xml:space="preserve"> calculada com a seguinte fórmula:</w:t>
      </w:r>
    </w:p>
    <w:p w14:paraId="300B5237" w14:textId="02F495EF" w:rsidR="00982191" w:rsidRPr="00EF7CF9" w:rsidRDefault="00000000" w:rsidP="00ED3D82">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Regionais - Período de Indisponibilidade Regional</m:t>
              </m:r>
            </m:num>
            <m:den>
              <m:r>
                <m:rPr>
                  <m:nor/>
                </m:rPr>
                <w:rPr>
                  <w:rFonts w:ascii="Cambria Math" w:hAnsi="Cambria Math" w:cs="Calibri"/>
                  <w:i/>
                  <w:iCs/>
                  <w:sz w:val="18"/>
                  <w:szCs w:val="18"/>
                </w:rPr>
                <m:t>Minutos Regionais</m:t>
              </m:r>
            </m:den>
          </m:f>
          <m:r>
            <w:rPr>
              <w:rFonts w:ascii="Cambria Math" w:hAnsi="Cambria Math" w:cs="Calibri"/>
              <w:sz w:val="18"/>
              <w:szCs w:val="18"/>
            </w:rPr>
            <m:t xml:space="preserve"> x 100</m:t>
          </m:r>
        </m:oMath>
      </m:oMathPara>
    </w:p>
    <w:p w14:paraId="2F4CCAC2" w14:textId="116D2C51" w:rsidR="00982191" w:rsidRDefault="00593CC9" w:rsidP="00F01ED6">
      <w:pPr>
        <w:pStyle w:val="ProductList-Body"/>
        <w:tabs>
          <w:tab w:val="clear" w:pos="360"/>
          <w:tab w:val="clear" w:pos="720"/>
          <w:tab w:val="clear" w:pos="1080"/>
        </w:tabs>
      </w:pPr>
      <w:r>
        <w:rPr>
          <w:b/>
          <w:color w:val="00188F"/>
        </w:rPr>
        <w:t>Crédito de Serviço</w:t>
      </w:r>
      <w:r w:rsidRPr="00473DD3">
        <w:rPr>
          <w:b/>
          <w:color w:val="00188F"/>
        </w:rPr>
        <w:t>:</w:t>
      </w:r>
      <w:r>
        <w:t xml:space="preserve"> para o Windows 365, os Créditos de Serviço não são uma percentagem dos Honorários dos Serviços Aplicáveis, mas serão a</w:t>
      </w:r>
      <w:r w:rsidR="006C0DA8">
        <w:t> </w:t>
      </w:r>
      <w:r>
        <w:t>soma de todos os Créditos Por Utilizador.</w:t>
      </w:r>
    </w:p>
    <w:p w14:paraId="20EFEAC1" w14:textId="36591FDC" w:rsidR="00EC2549" w:rsidRPr="00EF7CF9" w:rsidRDefault="00EC2549" w:rsidP="00E46FF7">
      <w:pPr>
        <w:pStyle w:val="ProductList-SectionHeading"/>
        <w:pageBreakBefore/>
        <w:tabs>
          <w:tab w:val="clear" w:pos="360"/>
          <w:tab w:val="clear" w:pos="720"/>
          <w:tab w:val="clear" w:pos="1080"/>
        </w:tabs>
        <w:outlineLvl w:val="0"/>
      </w:pPr>
      <w:bookmarkStart w:id="458" w:name="AppendixA"/>
      <w:bookmarkStart w:id="459" w:name="ApêndiceA"/>
      <w:bookmarkStart w:id="460" w:name="_Toc457821598"/>
      <w:bookmarkStart w:id="461" w:name="_Toc182409760"/>
      <w:r>
        <w:t>Apêndice A</w:t>
      </w:r>
      <w:bookmarkEnd w:id="458"/>
      <w:bookmarkEnd w:id="459"/>
      <w:r>
        <w:t xml:space="preserve"> – Compromisso de Nível de Serviço para Deteção e</w:t>
      </w:r>
      <w:r w:rsidR="005D764F">
        <w:t> </w:t>
      </w:r>
      <w:r>
        <w:t>Bloqueio de Vírus, Eficácia do Spam ou Falso Positivo</w:t>
      </w:r>
      <w:bookmarkEnd w:id="460"/>
      <w:bookmarkEnd w:id="461"/>
    </w:p>
    <w:p w14:paraId="24580D76" w14:textId="1C047630" w:rsidR="00D46DC5" w:rsidRPr="00EF7CF9" w:rsidRDefault="00D46DC5" w:rsidP="00F01ED6">
      <w:pPr>
        <w:pStyle w:val="ProductList-Body"/>
        <w:tabs>
          <w:tab w:val="clear" w:pos="360"/>
          <w:tab w:val="clear" w:pos="720"/>
          <w:tab w:val="clear" w:pos="1080"/>
        </w:tabs>
      </w:pPr>
      <w:r>
        <w:t>Relativamente ao Exchange Online e ao EOP licenciado como um Serviço autónomo ou através do conjunto ECAL ou Exchange Enterprise CAL com</w:t>
      </w:r>
      <w:r w:rsidR="00444B01">
        <w:t> </w:t>
      </w:r>
      <w:r>
        <w:t>Serviços, o Cliente pode ser elegível para Créditos de Serviço se a Microsoft não cumprir o Nível de Serviço descrito abaixo para: (1) Deteção e</w:t>
      </w:r>
      <w:r w:rsidR="00444B01">
        <w:t> </w:t>
      </w:r>
      <w:r>
        <w:t>Bloqueio de Vírus, (2) Eficácia do Spam ou (3) Falso Positivo. Se um destes Níveis de Serviço Individuais não for cumprido, o Cliente pode submeter uma queixa para obter um Crédito de Serviço. Se um Incidente levar a Microsoft a não cumprir mais do que uma métrica do SLA para</w:t>
      </w:r>
      <w:r w:rsidR="00444B01">
        <w:t> </w:t>
      </w:r>
      <w:r>
        <w:t>o</w:t>
      </w:r>
      <w:r w:rsidR="00444B01">
        <w:t> </w:t>
      </w:r>
      <w:r>
        <w:t>Exchange Online ou EOP, o Cliente só poderá submeter uma queixa de Crédito de Serviço para esse incidente por Serviço.</w:t>
      </w:r>
    </w:p>
    <w:p w14:paraId="0B087758" w14:textId="77777777" w:rsidR="00D46DC5" w:rsidRPr="00EF7CF9" w:rsidRDefault="00D46DC5" w:rsidP="00F01ED6">
      <w:pPr>
        <w:pStyle w:val="ProductList-Body"/>
        <w:tabs>
          <w:tab w:val="clear" w:pos="360"/>
          <w:tab w:val="clear" w:pos="720"/>
          <w:tab w:val="clear" w:pos="1080"/>
        </w:tabs>
      </w:pPr>
    </w:p>
    <w:p w14:paraId="61092289" w14:textId="4FE5C0A7" w:rsidR="00D46DC5" w:rsidRPr="00EF7CF9" w:rsidRDefault="00D46DC5" w:rsidP="00F01ED6">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0F2A0E12" w:rsidR="00D46DC5" w:rsidRPr="00EF7CF9" w:rsidRDefault="00380305" w:rsidP="00F01ED6">
      <w:pPr>
        <w:pStyle w:val="ProductList-Body"/>
        <w:numPr>
          <w:ilvl w:val="1"/>
          <w:numId w:val="6"/>
        </w:numPr>
        <w:tabs>
          <w:tab w:val="clear" w:pos="360"/>
          <w:tab w:val="clear" w:pos="720"/>
          <w:tab w:val="clear" w:pos="1080"/>
        </w:tabs>
        <w:ind w:left="720"/>
      </w:pPr>
      <w:r>
        <w:t>“</w:t>
      </w:r>
      <w:r w:rsidR="00EF7CF9">
        <w:t>Deteção e Bloqueio de Vírus</w:t>
      </w:r>
      <w:r>
        <w:t>”</w:t>
      </w:r>
      <w:r w:rsidR="00EF7CF9">
        <w:t xml:space="preserve"> é definido como a deteção e bloqueio de Vírus pelos filtros para impedir a infeção. </w:t>
      </w:r>
      <w:r>
        <w:t>“</w:t>
      </w:r>
      <w:r w:rsidR="00EF7CF9">
        <w:t>Vírus</w:t>
      </w:r>
      <w:r>
        <w:t>”</w:t>
      </w:r>
      <w:r w:rsidR="00EF7CF9">
        <w:t xml:space="preserve"> é amplamente definido como software maligno (malware), que inclui vírus, worms e Trojans.</w:t>
      </w:r>
    </w:p>
    <w:p w14:paraId="383AB279" w14:textId="494FB664" w:rsidR="00D46DC5" w:rsidRPr="00EF7CF9" w:rsidRDefault="00D46DC5" w:rsidP="00F01ED6">
      <w:pPr>
        <w:pStyle w:val="ProductList-Body"/>
        <w:numPr>
          <w:ilvl w:val="1"/>
          <w:numId w:val="6"/>
        </w:numPr>
        <w:tabs>
          <w:tab w:val="clear" w:pos="360"/>
          <w:tab w:val="clear" w:pos="720"/>
          <w:tab w:val="clear" w:pos="1080"/>
        </w:tabs>
        <w:ind w:left="720"/>
      </w:pPr>
      <w:r>
        <w:t>Um Vírus é considerado conhecido quando os motores de análise de vírus mais utilizados comercialmente conseguem detetar vírus e</w:t>
      </w:r>
      <w:r w:rsidR="00B071C6">
        <w:t> </w:t>
      </w:r>
      <w:r>
        <w:t>a</w:t>
      </w:r>
      <w:r w:rsidR="00B071C6">
        <w:t> </w:t>
      </w:r>
      <w:r>
        <w:t>capacidade de deteção está disponível ao longo da rede EOP.</w:t>
      </w:r>
    </w:p>
    <w:p w14:paraId="3EDD97C9" w14:textId="0741C4BD" w:rsidR="00D46DC5" w:rsidRPr="00EF7CF9" w:rsidRDefault="00D46DC5" w:rsidP="00F01ED6">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EF7CF9" w:rsidRDefault="00D46DC5" w:rsidP="00F01ED6">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EF7CF9" w:rsidRDefault="00D46DC5" w:rsidP="00F01ED6">
      <w:pPr>
        <w:pStyle w:val="ProductList-Body"/>
        <w:numPr>
          <w:ilvl w:val="1"/>
          <w:numId w:val="6"/>
        </w:numPr>
        <w:tabs>
          <w:tab w:val="clear" w:pos="360"/>
          <w:tab w:val="clear" w:pos="720"/>
          <w:tab w:val="clear" w:pos="1080"/>
        </w:tabs>
        <w:ind w:left="720"/>
      </w:pPr>
      <w:r>
        <w:t>Se o EOP enviar para o Cliente uma mensagem de e-mail que esteja infetada com um vírus conhecido, o EOP irá notificar e trabalhar com o Cliente para o identificar e remover. Se isto resultar na prevenção de uma infeção, o Cliente não será elegível para um Crédito de Serviço ao abrigo do Nível de Serviço de Deteção e Bloqueio de Vírus.</w:t>
      </w:r>
    </w:p>
    <w:p w14:paraId="086E42AC" w14:textId="7A7D04B9" w:rsidR="00D46DC5" w:rsidRPr="00EF7CF9" w:rsidRDefault="00D46DC5" w:rsidP="00F01ED6">
      <w:pPr>
        <w:pStyle w:val="ProductList-Body"/>
        <w:numPr>
          <w:ilvl w:val="1"/>
          <w:numId w:val="6"/>
        </w:numPr>
        <w:tabs>
          <w:tab w:val="clear" w:pos="360"/>
          <w:tab w:val="clear" w:pos="720"/>
          <w:tab w:val="clear" w:pos="1080"/>
        </w:tabs>
        <w:ind w:left="720"/>
      </w:pPr>
      <w:r>
        <w:t>O Nível de Serviço de Deteção e Bloqueio de Vírus não se aplica a:</w:t>
      </w:r>
    </w:p>
    <w:p w14:paraId="09006C52" w14:textId="524237E8" w:rsidR="00D46DC5" w:rsidRPr="00EF7CF9" w:rsidRDefault="00D46DC5" w:rsidP="00F01ED6">
      <w:pPr>
        <w:pStyle w:val="ProductList-Body"/>
        <w:numPr>
          <w:ilvl w:val="2"/>
          <w:numId w:val="6"/>
        </w:numPr>
        <w:tabs>
          <w:tab w:val="clear" w:pos="360"/>
          <w:tab w:val="clear" w:pos="720"/>
          <w:tab w:val="clear" w:pos="1080"/>
        </w:tabs>
        <w:ind w:left="1080" w:hanging="360"/>
      </w:pPr>
      <w:r>
        <w:t>Formas de utilização abusiva de mensagens de e-mail não classificadas como malware, tais como spam, phishing e outros esquemas, adware e formas de spyware que, dada a sua natureza direcionada ou utilização limitada, não são conhecidos da comunidade antivírus, pelo que não são controlados pelos produtos antivírus como um vírus.</w:t>
      </w:r>
    </w:p>
    <w:p w14:paraId="7048433A" w14:textId="7661DAAF" w:rsidR="00D46DC5" w:rsidRPr="00EF7CF9" w:rsidRDefault="00D46DC5" w:rsidP="00F01ED6">
      <w:pPr>
        <w:pStyle w:val="ProductList-Body"/>
        <w:numPr>
          <w:ilvl w:val="2"/>
          <w:numId w:val="6"/>
        </w:numPr>
        <w:tabs>
          <w:tab w:val="clear" w:pos="360"/>
          <w:tab w:val="clear" w:pos="720"/>
          <w:tab w:val="clear" w:pos="1080"/>
        </w:tabs>
        <w:ind w:left="1080" w:hanging="360"/>
      </w:pPr>
      <w:r>
        <w:t>Vírus corruptos, com defeitos, truncados ou inativos contidos em mensagens de e-mail de relatórios de entrega sem êxito, de notificações ou mensagens devolvidas.</w:t>
      </w:r>
    </w:p>
    <w:p w14:paraId="1F48062D" w14:textId="6EC757FD" w:rsidR="00D46DC5"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de Deteção e Bloqueio de Vírus é: 25% do Crédito de Serviço dos Honorários dos Serviços Aplicáveis se ocorrer uma infeção num Período Aplicável, com um máximo de uma queixa permitida por Período Aplicável.</w:t>
      </w:r>
    </w:p>
    <w:p w14:paraId="5A7D88E7" w14:textId="77777777" w:rsidR="00D46DC5" w:rsidRPr="00C9746A" w:rsidRDefault="00D46DC5" w:rsidP="00F01ED6">
      <w:pPr>
        <w:pStyle w:val="ProductList-Body"/>
        <w:tabs>
          <w:tab w:val="clear" w:pos="360"/>
          <w:tab w:val="clear" w:pos="720"/>
          <w:tab w:val="clear" w:pos="1080"/>
        </w:tabs>
        <w:ind w:left="720"/>
        <w:rPr>
          <w:szCs w:val="18"/>
        </w:rPr>
      </w:pPr>
    </w:p>
    <w:p w14:paraId="2921BACD" w14:textId="22CBB5DA"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3EC3441" w:rsidR="00D46DC5" w:rsidRPr="00EF7CF9" w:rsidRDefault="00380305" w:rsidP="00F01ED6">
      <w:pPr>
        <w:pStyle w:val="ProductList-Body"/>
        <w:numPr>
          <w:ilvl w:val="1"/>
          <w:numId w:val="6"/>
        </w:numPr>
        <w:tabs>
          <w:tab w:val="clear" w:pos="360"/>
          <w:tab w:val="clear" w:pos="720"/>
          <w:tab w:val="clear" w:pos="1080"/>
        </w:tabs>
        <w:ind w:left="720"/>
      </w:pPr>
      <w:r>
        <w:t>“</w:t>
      </w:r>
      <w:r w:rsidR="00EF7CF9">
        <w:t>Eficácia do Spam</w:t>
      </w:r>
      <w:r>
        <w:t>”</w:t>
      </w:r>
      <w:r w:rsidR="00EF7CF9">
        <w:t xml:space="preserve"> é definida como a percentagem de spam recebido detetado pelo sistema de filtragem, medido diariamente.</w:t>
      </w:r>
    </w:p>
    <w:p w14:paraId="64ABB92E" w14:textId="79612D0E" w:rsidR="00D46DC5" w:rsidRPr="00EF7CF9" w:rsidRDefault="00D46DC5" w:rsidP="00F01ED6">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EF7CF9" w:rsidRDefault="00D46DC5" w:rsidP="00F01ED6">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EF7CF9" w:rsidRDefault="00D46DC5" w:rsidP="00F01ED6">
      <w:pPr>
        <w:pStyle w:val="ProductList-Body"/>
        <w:numPr>
          <w:ilvl w:val="1"/>
          <w:numId w:val="6"/>
        </w:numPr>
        <w:tabs>
          <w:tab w:val="clear" w:pos="360"/>
          <w:tab w:val="clear" w:pos="720"/>
          <w:tab w:val="clear" w:pos="1080"/>
        </w:tabs>
        <w:ind w:left="720"/>
      </w:pPr>
      <w:r>
        <w:t xml:space="preserve">O Nível de Serviço da Eficácia do Spam não se aplica ao e-mail com a maior parte de conteúdo que não está em inglês. </w:t>
      </w:r>
    </w:p>
    <w:p w14:paraId="2713F5AA" w14:textId="733D5B1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13DCCE23" w:rsidR="00B10E8D"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da Eficácia do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F01ED6">
            <w:pPr>
              <w:pStyle w:val="ProductList-OfferingBody"/>
              <w:jc w:val="center"/>
              <w:rPr>
                <w:color w:val="FFFFFF" w:themeColor="background1"/>
              </w:rPr>
            </w:pPr>
            <w:r>
              <w:rPr>
                <w:color w:val="FFFFFF" w:themeColor="background1"/>
              </w:rPr>
              <w:t>% do Período Aplicável em que a Eficácia do Spam está abaixo dos 99%</w:t>
            </w:r>
          </w:p>
        </w:tc>
        <w:tc>
          <w:tcPr>
            <w:tcW w:w="5040" w:type="dxa"/>
            <w:shd w:val="clear" w:color="auto" w:fill="0072C6"/>
          </w:tcPr>
          <w:p w14:paraId="56BE0234" w14:textId="77777777" w:rsidR="00D46DC5" w:rsidRPr="00EF7CF9" w:rsidRDefault="00D46DC5" w:rsidP="00F01ED6">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6F6D8C4B" w:rsidR="00D46DC5" w:rsidRPr="00EF7CF9" w:rsidRDefault="00D46DC5" w:rsidP="00F01ED6">
            <w:pPr>
              <w:pStyle w:val="ProductList-OfferingBody"/>
              <w:jc w:val="center"/>
            </w:pPr>
            <w:r>
              <w:t>&gt;</w:t>
            </w:r>
            <w:r w:rsidR="00FD6AB8">
              <w:t xml:space="preserve"> </w:t>
            </w:r>
            <w:r>
              <w:t>25%</w:t>
            </w:r>
          </w:p>
        </w:tc>
        <w:tc>
          <w:tcPr>
            <w:tcW w:w="5040" w:type="dxa"/>
          </w:tcPr>
          <w:p w14:paraId="0CE6B48C" w14:textId="77777777" w:rsidR="00D46DC5" w:rsidRPr="00EF7CF9" w:rsidRDefault="00D46DC5" w:rsidP="00F01E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F01ED6">
            <w:pPr>
              <w:pStyle w:val="ProductList-OfferingBody"/>
              <w:jc w:val="center"/>
            </w:pPr>
            <w:r>
              <w:t>&gt; 50%</w:t>
            </w:r>
          </w:p>
        </w:tc>
        <w:tc>
          <w:tcPr>
            <w:tcW w:w="5040" w:type="dxa"/>
          </w:tcPr>
          <w:p w14:paraId="2DE7EA92" w14:textId="77777777" w:rsidR="00D46DC5" w:rsidRPr="00EF7CF9" w:rsidRDefault="00D46DC5" w:rsidP="00F01E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F01ED6">
            <w:pPr>
              <w:pStyle w:val="ProductList-OfferingBody"/>
              <w:jc w:val="center"/>
            </w:pPr>
            <w:r>
              <w:t>100%</w:t>
            </w:r>
          </w:p>
        </w:tc>
        <w:tc>
          <w:tcPr>
            <w:tcW w:w="5040" w:type="dxa"/>
          </w:tcPr>
          <w:p w14:paraId="2AC83C59" w14:textId="77777777" w:rsidR="00D46DC5" w:rsidRPr="00EF7CF9" w:rsidRDefault="00D46DC5" w:rsidP="00F01ED6">
            <w:pPr>
              <w:pStyle w:val="ProductList-OfferingBody"/>
              <w:jc w:val="center"/>
            </w:pPr>
            <w:r>
              <w:t>100%</w:t>
            </w:r>
          </w:p>
        </w:tc>
      </w:tr>
    </w:tbl>
    <w:p w14:paraId="5FF28ED0" w14:textId="77777777" w:rsidR="00D46DC5" w:rsidRPr="00C9746A" w:rsidRDefault="00D46DC5" w:rsidP="00F01ED6">
      <w:pPr>
        <w:pStyle w:val="ProductList-Body"/>
        <w:tabs>
          <w:tab w:val="clear" w:pos="360"/>
          <w:tab w:val="clear" w:pos="720"/>
          <w:tab w:val="clear" w:pos="1080"/>
        </w:tabs>
        <w:rPr>
          <w:szCs w:val="18"/>
        </w:rPr>
      </w:pPr>
    </w:p>
    <w:p w14:paraId="790AF5B7" w14:textId="450B8A56"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9BD76F8" w:rsidR="00D46DC5" w:rsidRPr="00EF7CF9" w:rsidRDefault="00380305" w:rsidP="00F01ED6">
      <w:pPr>
        <w:pStyle w:val="ProductList-Body"/>
        <w:numPr>
          <w:ilvl w:val="1"/>
          <w:numId w:val="6"/>
        </w:numPr>
        <w:tabs>
          <w:tab w:val="clear" w:pos="360"/>
          <w:tab w:val="clear" w:pos="720"/>
          <w:tab w:val="clear" w:pos="1080"/>
        </w:tabs>
        <w:ind w:left="720"/>
      </w:pPr>
      <w:r>
        <w:t>“</w:t>
      </w:r>
      <w:r w:rsidR="00EF7CF9">
        <w:t>Falso Positivo</w:t>
      </w:r>
      <w:r>
        <w:t>”</w:t>
      </w:r>
      <w:r w:rsidR="00EF7CF9">
        <w:t xml:space="preserve"> é definido como o rácio de mensagens de e-mail comerciais legítimas identificadas incorretamente como spam pelo sistema de filtragem para todas as mensagens de e-mail processadas pelo serviço num Período Aplicável.</w:t>
      </w:r>
    </w:p>
    <w:p w14:paraId="6200DF6C" w14:textId="75E7A01E" w:rsidR="00D46DC5" w:rsidRPr="00FD6AB8" w:rsidRDefault="00D46DC5" w:rsidP="00F01ED6">
      <w:pPr>
        <w:pStyle w:val="ProductList-Body"/>
        <w:numPr>
          <w:ilvl w:val="1"/>
          <w:numId w:val="6"/>
        </w:numPr>
        <w:tabs>
          <w:tab w:val="clear" w:pos="360"/>
          <w:tab w:val="clear" w:pos="720"/>
          <w:tab w:val="clear" w:pos="1080"/>
        </w:tabs>
        <w:ind w:left="720"/>
        <w:jc w:val="both"/>
        <w:rPr>
          <w:spacing w:val="-2"/>
        </w:rPr>
      </w:pPr>
      <w:r w:rsidRPr="00FD6AB8">
        <w:rPr>
          <w:spacing w:val="-2"/>
        </w:rPr>
        <w:t>As mensagens completas e originais, incluindo todos os cabeçalhos, têm de ser reportadas à equipa de processamento de utilizações abusivas.</w:t>
      </w:r>
    </w:p>
    <w:p w14:paraId="56882ADE" w14:textId="51F69848" w:rsidR="00D46DC5" w:rsidRPr="00EF7CF9" w:rsidRDefault="00D46DC5" w:rsidP="00F01ED6">
      <w:pPr>
        <w:pStyle w:val="ProductList-Body"/>
        <w:numPr>
          <w:ilvl w:val="1"/>
          <w:numId w:val="6"/>
        </w:numPr>
        <w:tabs>
          <w:tab w:val="clear" w:pos="360"/>
          <w:tab w:val="clear" w:pos="720"/>
          <w:tab w:val="clear" w:pos="1080"/>
        </w:tabs>
        <w:ind w:left="720"/>
      </w:pPr>
      <w:r>
        <w:t>Aplica-se às mensagens de e-mail enviado apenas para as caixas de correio válidas.</w:t>
      </w:r>
    </w:p>
    <w:p w14:paraId="40E1716C" w14:textId="036400E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w:t>
      </w:r>
      <w:r w:rsidR="00FD6AB8">
        <w:t> </w:t>
      </w:r>
      <w:r>
        <w:t>boa fé do rácio de falsos positivos com base nas provas fornecidas atempadamente pelo Cliente.</w:t>
      </w:r>
    </w:p>
    <w:p w14:paraId="23C90FDB" w14:textId="474C063D" w:rsidR="00D46DC5" w:rsidRPr="00EF7CF9" w:rsidRDefault="00D46DC5" w:rsidP="00F01ED6">
      <w:pPr>
        <w:pStyle w:val="ProductList-Body"/>
        <w:numPr>
          <w:ilvl w:val="1"/>
          <w:numId w:val="6"/>
        </w:numPr>
        <w:tabs>
          <w:tab w:val="clear" w:pos="360"/>
          <w:tab w:val="clear" w:pos="720"/>
          <w:tab w:val="clear" w:pos="1080"/>
        </w:tabs>
        <w:ind w:left="720"/>
      </w:pPr>
      <w:r>
        <w:t>Este Nível de Serviço de Falso Positivo não deve ser aplicado a:</w:t>
      </w:r>
    </w:p>
    <w:p w14:paraId="7372134E" w14:textId="4A9824CE" w:rsidR="00D46DC5" w:rsidRPr="00EF7CF9" w:rsidRDefault="00D46DC5" w:rsidP="00F01ED6">
      <w:pPr>
        <w:pStyle w:val="ProductList-Body"/>
        <w:numPr>
          <w:ilvl w:val="2"/>
          <w:numId w:val="6"/>
        </w:numPr>
        <w:tabs>
          <w:tab w:val="clear" w:pos="360"/>
          <w:tab w:val="clear" w:pos="720"/>
          <w:tab w:val="clear" w:pos="1080"/>
        </w:tabs>
        <w:ind w:left="1080" w:hanging="360"/>
      </w:pPr>
      <w:r>
        <w:t>e-mail em massa, pessoal ou pornográfico</w:t>
      </w:r>
    </w:p>
    <w:p w14:paraId="7A5B93DD" w14:textId="481EF0DD" w:rsidR="00D46DC5" w:rsidRPr="00EF7CF9" w:rsidRDefault="00D46DC5" w:rsidP="00F01ED6">
      <w:pPr>
        <w:pStyle w:val="ProductList-Body"/>
        <w:numPr>
          <w:ilvl w:val="2"/>
          <w:numId w:val="6"/>
        </w:numPr>
        <w:tabs>
          <w:tab w:val="clear" w:pos="360"/>
          <w:tab w:val="clear" w:pos="720"/>
          <w:tab w:val="clear" w:pos="1080"/>
        </w:tabs>
        <w:ind w:left="1080" w:hanging="360"/>
      </w:pPr>
      <w:r>
        <w:t>e-mail com a maior parte de conteúdo que não está em inglês</w:t>
      </w:r>
    </w:p>
    <w:p w14:paraId="2644814B" w14:textId="660B23B4" w:rsidR="00D46DC5" w:rsidRPr="00EF7CF9" w:rsidRDefault="00D46DC5" w:rsidP="00F01ED6">
      <w:pPr>
        <w:pStyle w:val="ProductList-Body"/>
        <w:numPr>
          <w:ilvl w:val="2"/>
          <w:numId w:val="6"/>
        </w:numPr>
        <w:tabs>
          <w:tab w:val="clear" w:pos="360"/>
          <w:tab w:val="clear" w:pos="720"/>
          <w:tab w:val="clear" w:pos="1080"/>
        </w:tabs>
        <w:ind w:left="1080" w:hanging="360"/>
      </w:pPr>
      <w:r>
        <w:t>e-mail bloqueado por uma regra de política, filtros de reputação ou filtros de ligação SMTP</w:t>
      </w:r>
    </w:p>
    <w:p w14:paraId="2D20E567" w14:textId="54658CED" w:rsidR="00D46DC5" w:rsidRPr="00EF7CF9" w:rsidRDefault="00D46DC5" w:rsidP="00F01ED6">
      <w:pPr>
        <w:pStyle w:val="ProductList-Body"/>
        <w:numPr>
          <w:ilvl w:val="2"/>
          <w:numId w:val="6"/>
        </w:numPr>
        <w:tabs>
          <w:tab w:val="clear" w:pos="360"/>
          <w:tab w:val="clear" w:pos="720"/>
          <w:tab w:val="clear" w:pos="1080"/>
        </w:tabs>
        <w:ind w:left="1080" w:hanging="360"/>
      </w:pPr>
      <w:r>
        <w:t>e-mail enviado para a pasta de lixo</w:t>
      </w:r>
    </w:p>
    <w:p w14:paraId="775DAECE" w14:textId="56DC4673" w:rsidR="00D46DC5" w:rsidRPr="00EF7CF9" w:rsidRDefault="00D46DC5" w:rsidP="0043353B">
      <w:pPr>
        <w:pStyle w:val="ProductList-Body"/>
        <w:keepNext/>
        <w:keepLines/>
        <w:numPr>
          <w:ilvl w:val="1"/>
          <w:numId w:val="6"/>
        </w:numPr>
        <w:tabs>
          <w:tab w:val="clear" w:pos="360"/>
          <w:tab w:val="clear" w:pos="720"/>
          <w:tab w:val="clear" w:pos="1080"/>
        </w:tabs>
        <w:ind w:left="720"/>
      </w:pPr>
      <w:r>
        <w:t>O Crédito de Serviço disponível para o Serviço de Falso 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3353B">
            <w:pPr>
              <w:pStyle w:val="ProductList-OfferingBody"/>
              <w:keepNext/>
              <w:keepLines/>
              <w:jc w:val="center"/>
              <w:rPr>
                <w:color w:val="FFFFFF" w:themeColor="background1"/>
              </w:rPr>
            </w:pPr>
            <w:r>
              <w:rPr>
                <w:color w:val="FFFFFF" w:themeColor="background1"/>
              </w:rPr>
              <w:t>Rácio de Falsos Positivos num Período Aplicável</w:t>
            </w:r>
          </w:p>
        </w:tc>
        <w:tc>
          <w:tcPr>
            <w:tcW w:w="5040" w:type="dxa"/>
            <w:shd w:val="clear" w:color="auto" w:fill="0072C6"/>
          </w:tcPr>
          <w:p w14:paraId="60CA8A89" w14:textId="77777777" w:rsidR="00D46DC5" w:rsidRPr="00EF7CF9" w:rsidRDefault="00D46DC5" w:rsidP="0043353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43353B">
            <w:pPr>
              <w:pStyle w:val="ProductList-OfferingBody"/>
              <w:keepNext/>
              <w:keepLines/>
              <w:jc w:val="center"/>
            </w:pPr>
            <w:r>
              <w:t>&gt; 1:250.000</w:t>
            </w:r>
          </w:p>
        </w:tc>
        <w:tc>
          <w:tcPr>
            <w:tcW w:w="5040" w:type="dxa"/>
          </w:tcPr>
          <w:p w14:paraId="4987D417" w14:textId="77777777" w:rsidR="00D46DC5" w:rsidRPr="00EF7CF9" w:rsidRDefault="00D46DC5" w:rsidP="0043353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F01ED6">
            <w:pPr>
              <w:pStyle w:val="ProductList-OfferingBody"/>
              <w:jc w:val="center"/>
            </w:pPr>
            <w:r>
              <w:t>&gt; 1:10.000</w:t>
            </w:r>
          </w:p>
        </w:tc>
        <w:tc>
          <w:tcPr>
            <w:tcW w:w="5040" w:type="dxa"/>
          </w:tcPr>
          <w:p w14:paraId="12F73FB9" w14:textId="77777777" w:rsidR="00D46DC5" w:rsidRPr="00EF7CF9" w:rsidRDefault="00D46DC5" w:rsidP="00F01E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F01ED6">
            <w:pPr>
              <w:pStyle w:val="ProductList-OfferingBody"/>
              <w:jc w:val="center"/>
            </w:pPr>
            <w:r>
              <w:t>&gt; 1:100</w:t>
            </w:r>
          </w:p>
        </w:tc>
        <w:tc>
          <w:tcPr>
            <w:tcW w:w="5040" w:type="dxa"/>
          </w:tcPr>
          <w:p w14:paraId="0C773A17" w14:textId="77777777" w:rsidR="00D46DC5" w:rsidRPr="00EF7CF9" w:rsidRDefault="00D46DC5" w:rsidP="00F01ED6">
            <w:pPr>
              <w:pStyle w:val="ProductList-OfferingBody"/>
              <w:jc w:val="center"/>
            </w:pPr>
            <w:r>
              <w:t>100%</w:t>
            </w:r>
          </w:p>
        </w:tc>
      </w:tr>
    </w:tbl>
    <w:p w14:paraId="4AEF8266" w14:textId="77777777" w:rsidR="00D46DC5" w:rsidRPr="00FD6AB8" w:rsidRDefault="00D46DC5" w:rsidP="00F01ED6">
      <w:pPr>
        <w:pStyle w:val="ProductList-Body"/>
        <w:tabs>
          <w:tab w:val="clear" w:pos="360"/>
          <w:tab w:val="clear" w:pos="720"/>
          <w:tab w:val="clear" w:pos="1080"/>
        </w:tabs>
        <w:rPr>
          <w:sz w:val="14"/>
        </w:rPr>
      </w:pPr>
    </w:p>
    <w:p w14:paraId="1194507A" w14:textId="77777777" w:rsidR="00B10E8D" w:rsidRPr="00FD6AB8" w:rsidRDefault="00B10E8D" w:rsidP="00F01ED6">
      <w:pPr>
        <w:spacing w:line="240" w:lineRule="auto"/>
        <w:rPr>
          <w:sz w:val="14"/>
          <w:szCs w:val="18"/>
        </w:rPr>
        <w:sectPr w:rsidR="00B10E8D" w:rsidRPr="00FD6AB8" w:rsidSect="008B1CA1">
          <w:footerReference w:type="default" r:id="rId30"/>
          <w:footerReference w:type="first" r:id="rId31"/>
          <w:pgSz w:w="12240" w:h="15840"/>
          <w:pgMar w:top="1440" w:right="720" w:bottom="1440" w:left="720" w:header="720" w:footer="720" w:gutter="0"/>
          <w:cols w:space="720"/>
          <w:titlePg/>
          <w:docGrid w:linePitch="360"/>
        </w:sectPr>
      </w:pPr>
    </w:p>
    <w:p w14:paraId="2CB1EA6B" w14:textId="0F9504AF" w:rsidR="00914BDB" w:rsidRPr="00EF7CF9" w:rsidRDefault="00EC2549" w:rsidP="00F01ED6">
      <w:pPr>
        <w:pStyle w:val="ProductList-SectionHeading"/>
        <w:tabs>
          <w:tab w:val="clear" w:pos="360"/>
          <w:tab w:val="clear" w:pos="720"/>
          <w:tab w:val="clear" w:pos="1080"/>
        </w:tabs>
        <w:outlineLvl w:val="0"/>
      </w:pPr>
      <w:bookmarkStart w:id="462" w:name="AppendixB"/>
      <w:bookmarkStart w:id="463" w:name="_Toc457821599"/>
      <w:bookmarkStart w:id="464" w:name="_Toc182409761"/>
      <w:r>
        <w:t>Apêndice B</w:t>
      </w:r>
      <w:bookmarkEnd w:id="462"/>
      <w:r>
        <w:t xml:space="preserve"> - Compromisso de Nível de Serviço para Período de</w:t>
      </w:r>
      <w:r w:rsidR="009052AA">
        <w:t> </w:t>
      </w:r>
      <w:r>
        <w:t>Disponibilidade</w:t>
      </w:r>
      <w:bookmarkEnd w:id="463"/>
      <w:bookmarkEnd w:id="464"/>
    </w:p>
    <w:p w14:paraId="73A17672" w14:textId="35D3A9FF" w:rsidR="00F575B8" w:rsidRDefault="00F575B8" w:rsidP="00F01ED6">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o Período de Disponibilidade:</w:t>
      </w:r>
    </w:p>
    <w:p w14:paraId="376335CF" w14:textId="74D937A9" w:rsidR="002267F9" w:rsidRPr="00EF7CF9" w:rsidRDefault="002267F9" w:rsidP="00F01ED6">
      <w:pPr>
        <w:pStyle w:val="ProductList-Body"/>
        <w:tabs>
          <w:tab w:val="clear" w:pos="360"/>
          <w:tab w:val="clear" w:pos="720"/>
          <w:tab w:val="clear" w:pos="1080"/>
        </w:tabs>
      </w:pPr>
    </w:p>
    <w:p w14:paraId="1449EFF3" w14:textId="6610D418" w:rsidR="00F575B8" w:rsidRPr="00EF7CF9" w:rsidRDefault="00AC48A7" w:rsidP="00F01ED6">
      <w:pPr>
        <w:pStyle w:val="ProductList-Body"/>
        <w:tabs>
          <w:tab w:val="clear" w:pos="360"/>
          <w:tab w:val="clear" w:pos="720"/>
          <w:tab w:val="clear" w:pos="1080"/>
        </w:tabs>
      </w:pPr>
      <w:r>
        <w:rPr>
          <w:b/>
          <w:color w:val="00188F"/>
        </w:rPr>
        <w:t>Percentagem de Período de Disponibilidade</w:t>
      </w:r>
      <w:r w:rsidRPr="00473DD3">
        <w:rPr>
          <w:b/>
          <w:color w:val="00188F"/>
        </w:rPr>
        <w:t>:</w:t>
      </w:r>
    </w:p>
    <w:p w14:paraId="1B335C9B" w14:textId="2173A791" w:rsidR="009677CB" w:rsidRPr="00EF7CF9" w:rsidRDefault="00F575B8" w:rsidP="00F01ED6">
      <w:pPr>
        <w:pStyle w:val="ProductList-Body"/>
        <w:tabs>
          <w:tab w:val="clear" w:pos="360"/>
          <w:tab w:val="clear" w:pos="720"/>
          <w:tab w:val="clear" w:pos="1080"/>
        </w:tabs>
      </w:pPr>
      <w:r>
        <w:t>Se a Percentagem de Período de Disponibilidade para EOP se situar abaixo dos 99,999% durante um determinado Período Aplicável, o Cliente poderá ser elegível para o seguinte Crédito de Serviço: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F01ED6">
            <w:pPr>
              <w:pStyle w:val="ProductList-OfferingBody"/>
              <w:tabs>
                <w:tab w:val="clear" w:pos="360"/>
                <w:tab w:val="clear" w:pos="720"/>
                <w:tab w:val="clear" w:pos="1080"/>
              </w:tabs>
              <w:jc w:val="center"/>
              <w:rPr>
                <w:color w:val="FFFFFF" w:themeColor="background1"/>
              </w:rPr>
            </w:pPr>
            <w:r>
              <w:rPr>
                <w:color w:val="FFFFFF" w:themeColor="background1"/>
              </w:rPr>
              <w:t>Percentagem de Período de Disponibilidade</w:t>
            </w:r>
          </w:p>
        </w:tc>
        <w:tc>
          <w:tcPr>
            <w:tcW w:w="2500" w:type="pct"/>
            <w:shd w:val="clear" w:color="auto" w:fill="0072C6"/>
          </w:tcPr>
          <w:p w14:paraId="4A257EB0" w14:textId="77777777" w:rsidR="00F575B8" w:rsidRPr="00EF7CF9" w:rsidRDefault="00F575B8" w:rsidP="00F01E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B44CF9" w14:paraId="21AE8FA2" w14:textId="77777777" w:rsidTr="009F4F1B">
        <w:tc>
          <w:tcPr>
            <w:tcW w:w="2500" w:type="pct"/>
          </w:tcPr>
          <w:p w14:paraId="314AF2FE" w14:textId="3B020FCD" w:rsidR="00F575B8" w:rsidRPr="00EF7CF9" w:rsidRDefault="00F575B8" w:rsidP="00F01ED6">
            <w:pPr>
              <w:pStyle w:val="ProductList-OfferingBody"/>
              <w:jc w:val="center"/>
            </w:pPr>
            <w:r>
              <w:t>&lt;</w:t>
            </w:r>
            <w:r w:rsidR="00F01ED6">
              <w:t xml:space="preserve"> </w:t>
            </w:r>
            <w:r>
              <w:t>99,999%</w:t>
            </w:r>
          </w:p>
        </w:tc>
        <w:tc>
          <w:tcPr>
            <w:tcW w:w="2500" w:type="pct"/>
          </w:tcPr>
          <w:p w14:paraId="2358D34A" w14:textId="77777777" w:rsidR="00F575B8" w:rsidRPr="00EF7CF9" w:rsidRDefault="00F575B8" w:rsidP="00F01E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59250FA7" w:rsidR="00F575B8" w:rsidRPr="00EF7CF9" w:rsidRDefault="00F575B8" w:rsidP="00F01ED6">
            <w:pPr>
              <w:pStyle w:val="ProductList-OfferingBody"/>
              <w:jc w:val="center"/>
            </w:pPr>
            <w:r>
              <w:t>&lt;</w:t>
            </w:r>
            <w:r w:rsidR="00F01ED6">
              <w:t xml:space="preserve"> </w:t>
            </w:r>
            <w:r>
              <w:t>99%</w:t>
            </w:r>
          </w:p>
        </w:tc>
        <w:tc>
          <w:tcPr>
            <w:tcW w:w="2500" w:type="pct"/>
          </w:tcPr>
          <w:p w14:paraId="783F95EF" w14:textId="77777777" w:rsidR="00F575B8" w:rsidRPr="00EF7CF9" w:rsidRDefault="00F575B8" w:rsidP="00F01E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7DD64DE2" w:rsidR="00F575B8" w:rsidRPr="00EF7CF9" w:rsidRDefault="00F575B8" w:rsidP="00F01ED6">
            <w:pPr>
              <w:pStyle w:val="ProductList-OfferingBody"/>
              <w:jc w:val="center"/>
            </w:pPr>
            <w:r>
              <w:t>&lt;</w:t>
            </w:r>
            <w:r w:rsidR="00F01ED6">
              <w:t xml:space="preserve"> </w:t>
            </w:r>
            <w:r>
              <w:t>98%</w:t>
            </w:r>
          </w:p>
        </w:tc>
        <w:tc>
          <w:tcPr>
            <w:tcW w:w="2500" w:type="pct"/>
          </w:tcPr>
          <w:p w14:paraId="51040D61" w14:textId="77777777" w:rsidR="00F575B8" w:rsidRPr="00EF7CF9" w:rsidRDefault="00F575B8" w:rsidP="00F01ED6">
            <w:pPr>
              <w:pStyle w:val="ProductList-OfferingBody"/>
              <w:tabs>
                <w:tab w:val="clear" w:pos="360"/>
                <w:tab w:val="clear" w:pos="720"/>
                <w:tab w:val="clear" w:pos="1080"/>
              </w:tabs>
              <w:jc w:val="center"/>
            </w:pPr>
            <w:r>
              <w:t>100%</w:t>
            </w:r>
          </w:p>
        </w:tc>
      </w:tr>
    </w:tbl>
    <w:p w14:paraId="0B1AEF8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sectPr w:rsidR="00DC1476" w:rsidRPr="00EF7CF9" w:rsidSect="008B1CA1">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38EEB" w14:textId="77777777" w:rsidR="005A5C9A" w:rsidRDefault="005A5C9A" w:rsidP="009A573F">
      <w:pPr>
        <w:spacing w:after="0" w:line="240" w:lineRule="auto"/>
      </w:pPr>
      <w:r>
        <w:separator/>
      </w:r>
    </w:p>
    <w:p w14:paraId="2CDED811" w14:textId="77777777" w:rsidR="005A5C9A" w:rsidRDefault="005A5C9A"/>
    <w:p w14:paraId="7C13C00A" w14:textId="77777777" w:rsidR="005A5C9A" w:rsidRDefault="005A5C9A"/>
    <w:p w14:paraId="1CBB44DC" w14:textId="77777777" w:rsidR="005A5C9A" w:rsidRDefault="005A5C9A"/>
    <w:p w14:paraId="574D5DE6" w14:textId="77777777" w:rsidR="005A5C9A" w:rsidRDefault="005A5C9A"/>
  </w:endnote>
  <w:endnote w:type="continuationSeparator" w:id="0">
    <w:p w14:paraId="0E9C7C26" w14:textId="77777777" w:rsidR="005A5C9A" w:rsidRDefault="005A5C9A" w:rsidP="009A573F">
      <w:pPr>
        <w:spacing w:after="0" w:line="240" w:lineRule="auto"/>
      </w:pPr>
      <w:r>
        <w:continuationSeparator/>
      </w:r>
    </w:p>
    <w:p w14:paraId="2453848A" w14:textId="77777777" w:rsidR="005A5C9A" w:rsidRDefault="005A5C9A"/>
    <w:p w14:paraId="33106798" w14:textId="77777777" w:rsidR="005A5C9A" w:rsidRDefault="005A5C9A"/>
    <w:p w14:paraId="1762F44F" w14:textId="77777777" w:rsidR="005A5C9A" w:rsidRDefault="005A5C9A"/>
    <w:p w14:paraId="4A43361E" w14:textId="77777777" w:rsidR="005A5C9A" w:rsidRDefault="005A5C9A"/>
  </w:endnote>
  <w:endnote w:type="continuationNotice" w:id="1">
    <w:p w14:paraId="3B65DF9E" w14:textId="77777777" w:rsidR="005A5C9A" w:rsidRDefault="005A5C9A">
      <w:pPr>
        <w:spacing w:after="0" w:line="240" w:lineRule="auto"/>
      </w:pPr>
    </w:p>
    <w:p w14:paraId="4E407FF9" w14:textId="77777777" w:rsidR="005A5C9A" w:rsidRDefault="005A5C9A"/>
    <w:p w14:paraId="1B7A498D" w14:textId="77777777" w:rsidR="005A5C9A" w:rsidRDefault="005A5C9A"/>
    <w:p w14:paraId="3D6474BF" w14:textId="77777777" w:rsidR="005A5C9A" w:rsidRDefault="005A5C9A"/>
    <w:p w14:paraId="51DFAB03" w14:textId="77777777" w:rsidR="005A5C9A" w:rsidRDefault="005A5C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380305" w:rsidRDefault="00380305" w:rsidP="00914BDB">
    <w:pPr>
      <w:pStyle w:val="ProductList-Body"/>
    </w:pPr>
    <w:r>
      <w:rPr>
        <w:noProof/>
        <w:lang w:val="en-US" w:eastAsia="zh-CN" w:bidi="ar-SA"/>
      </w:rPr>
      <w:drawing>
        <wp:inline distT="0" distB="0" distL="0" distR="0" wp14:anchorId="57C84DC6" wp14:editId="3A5C7D0C">
          <wp:extent cx="1993692" cy="457200"/>
          <wp:effectExtent l="0" t="0" r="6985" b="0"/>
          <wp:docPr id="1576501788" name="Picture 1576501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78DC3BD5" w14:textId="77777777" w:rsidTr="00674FD5">
      <w:tc>
        <w:tcPr>
          <w:tcW w:w="1975" w:type="dxa"/>
          <w:shd w:val="clear" w:color="auto" w:fill="BFBFBF" w:themeFill="background1" w:themeFillShade="BF"/>
          <w:vAlign w:val="center"/>
        </w:tcPr>
        <w:p w14:paraId="342A3D30"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537A2EE1"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16562C8"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798B3B7D"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D762A63"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6944FB18"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661AD8D"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C4BA7E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D7627A8" w14:textId="5799274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33F0587C" w14:textId="77777777" w:rsidR="00E244C6" w:rsidRDefault="00E244C6" w:rsidP="00E244C6">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80305" w:rsidRPr="00C76DF3" w14:paraId="32E85765" w14:textId="77777777" w:rsidTr="00B0776A">
      <w:tc>
        <w:tcPr>
          <w:tcW w:w="1975" w:type="dxa"/>
          <w:shd w:val="clear" w:color="auto" w:fill="BFBFBF" w:themeFill="background1" w:themeFillShade="BF"/>
          <w:vAlign w:val="center"/>
        </w:tcPr>
        <w:p w14:paraId="7081A355" w14:textId="77777777" w:rsidR="00380305" w:rsidRPr="00C76DF3" w:rsidRDefault="0038030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3863E4F2" w14:textId="77777777" w:rsidR="00380305" w:rsidRPr="00C76DF3" w:rsidRDefault="00380305" w:rsidP="005861E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0DD826BD" w:rsidR="00380305" w:rsidRPr="00C76DF3" w:rsidRDefault="0038030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8A10451" w14:textId="77777777" w:rsidR="00380305" w:rsidRPr="00C76DF3" w:rsidRDefault="00380305" w:rsidP="005861E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8C4758B" w:rsidR="00380305" w:rsidRPr="00C76DF3" w:rsidRDefault="0038030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2EA56682" w14:textId="77777777" w:rsidR="00380305" w:rsidRPr="00C76DF3" w:rsidRDefault="00380305"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D2DF61B" w:rsidR="00380305" w:rsidRPr="00C76DF3" w:rsidRDefault="0038030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18D69201" w14:textId="77777777" w:rsidR="00380305" w:rsidRPr="00C76DF3" w:rsidRDefault="00380305"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1964D46" w:rsidR="00380305" w:rsidRPr="00C76DF3" w:rsidRDefault="005814E2"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F49D278" w14:textId="77777777" w:rsidR="00380305" w:rsidRDefault="0038030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0305" w:rsidRPr="00C76DF3" w14:paraId="49EBE58A" w14:textId="77777777" w:rsidTr="00B5200C">
      <w:tc>
        <w:tcPr>
          <w:tcW w:w="1255" w:type="dxa"/>
          <w:shd w:val="clear" w:color="auto" w:fill="F2F2F2" w:themeFill="background1" w:themeFillShade="F2"/>
          <w:vAlign w:val="center"/>
        </w:tcPr>
        <w:p w14:paraId="102377D2" w14:textId="77777777" w:rsidR="00380305" w:rsidRPr="00C76DF3" w:rsidRDefault="00380305"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3BB867E4" w14:textId="77777777" w:rsidR="00380305" w:rsidRPr="00C76DF3" w:rsidRDefault="0038030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80305" w:rsidRPr="00C76DF3" w:rsidRDefault="00380305"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53D82520" w14:textId="77777777" w:rsidR="00380305" w:rsidRPr="00C76DF3" w:rsidRDefault="0038030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80305" w:rsidRPr="00C76DF3" w:rsidRDefault="00380305"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Licenciamento</w:t>
            </w:r>
          </w:hyperlink>
        </w:p>
      </w:tc>
      <w:tc>
        <w:tcPr>
          <w:tcW w:w="183" w:type="dxa"/>
          <w:tcBorders>
            <w:top w:val="nil"/>
            <w:bottom w:val="nil"/>
          </w:tcBorders>
          <w:vAlign w:val="center"/>
        </w:tcPr>
        <w:p w14:paraId="1125AF40" w14:textId="77777777" w:rsidR="00380305" w:rsidRPr="00C76DF3" w:rsidRDefault="0038030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80305" w:rsidRPr="00C76DF3" w:rsidRDefault="00380305"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80305" w:rsidRPr="00C76DF3" w:rsidRDefault="00380305"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774E3CA7" w14:textId="77777777" w:rsidR="00380305" w:rsidRPr="00C76DF3" w:rsidRDefault="0038030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80305" w:rsidRPr="00C76DF3" w:rsidRDefault="0038030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Pr>
                  <w:rStyle w:val="Hyperlink"/>
                  <w:sz w:val="14"/>
                  <w:szCs w:val="14"/>
                </w:rPr>
                <w:t>Glossário</w:t>
              </w:r>
            </w:hyperlink>
          </w:hyperlink>
          <w:hyperlink w:anchor="Serviços" w:history="1">
            <w:r>
              <w:rPr>
                <w:rStyle w:val="Hyperlink"/>
                <w:sz w:val="22"/>
              </w:rPr>
              <w:t>Serviços</w:t>
            </w:r>
          </w:hyperlink>
        </w:p>
      </w:tc>
      <w:tc>
        <w:tcPr>
          <w:tcW w:w="270" w:type="dxa"/>
          <w:tcBorders>
            <w:top w:val="nil"/>
            <w:bottom w:val="nil"/>
          </w:tcBorders>
          <w:vAlign w:val="center"/>
        </w:tcPr>
        <w:p w14:paraId="5133B46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80305" w:rsidRPr="00C76DF3" w:rsidRDefault="00380305"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380305" w:rsidRPr="00C76DF3" w:rsidRDefault="0038030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80305" w:rsidRPr="00C76DF3" w:rsidRDefault="00380305" w:rsidP="00370875">
          <w:pPr>
            <w:pStyle w:val="ProductList-OfferingBody"/>
            <w:ind w:left="-72" w:right="-74"/>
            <w:jc w:val="center"/>
            <w:rPr>
              <w:color w:val="808080" w:themeColor="background1" w:themeShade="80"/>
              <w:sz w:val="14"/>
              <w:szCs w:val="14"/>
            </w:rPr>
          </w:pPr>
          <w:hyperlink w:anchor="Índice remissivo" w:history="1">
            <w:r>
              <w:rPr>
                <w:rStyle w:val="Hyperlink"/>
                <w:sz w:val="14"/>
                <w:szCs w:val="14"/>
              </w:rPr>
              <w:t>Índice remissivo</w:t>
            </w:r>
          </w:hyperlink>
        </w:p>
      </w:tc>
    </w:tr>
  </w:tbl>
  <w:p w14:paraId="79D1A8DC" w14:textId="77777777" w:rsidR="00380305" w:rsidRDefault="0038030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01188D70" w14:textId="77777777" w:rsidTr="00E244C6">
      <w:tc>
        <w:tcPr>
          <w:tcW w:w="1975" w:type="dxa"/>
          <w:shd w:val="clear" w:color="auto" w:fill="F2F2F2"/>
          <w:vAlign w:val="center"/>
        </w:tcPr>
        <w:p w14:paraId="25FD500D"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01F4CB7B"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272EEF79"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4EA5BADE"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FEB32F"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342CF86D"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434C15"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7CCA9D5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402F909" w14:textId="1775EE61"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5F6B9E3" w14:textId="77777777" w:rsidR="00E244C6" w:rsidRPr="007D49D9" w:rsidRDefault="00E244C6" w:rsidP="00E244C6">
    <w:pPr>
      <w:pStyle w:val="ProductList-Body"/>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4CC7662E" w14:textId="77777777" w:rsidTr="00674FD5">
      <w:tc>
        <w:tcPr>
          <w:tcW w:w="1975" w:type="dxa"/>
          <w:shd w:val="clear" w:color="auto" w:fill="F2F2F2"/>
          <w:vAlign w:val="center"/>
        </w:tcPr>
        <w:p w14:paraId="0E9EF25B"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02C45658"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413113CF"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12D1BBA1"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317C849"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126B6639"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3D3D5A0C"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75B440D1"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1F27968D" w14:textId="6E6EE4EE"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18A7CD14" w14:textId="77777777" w:rsidR="00E244C6" w:rsidRPr="007D49D9" w:rsidRDefault="00E244C6" w:rsidP="00E244C6">
    <w:pPr>
      <w:pStyle w:val="ProductList-Body"/>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60428E10" w14:textId="77777777" w:rsidTr="00674FD5">
      <w:tc>
        <w:tcPr>
          <w:tcW w:w="1975" w:type="dxa"/>
          <w:shd w:val="clear" w:color="auto" w:fill="F2F2F2"/>
          <w:vAlign w:val="center"/>
        </w:tcPr>
        <w:p w14:paraId="6DBB02A7"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3A61BAE0"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24B071B"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235C6795"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2AFE91A0"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03258072"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50BD364F"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05D94494"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B289E01" w14:textId="6FF825F7"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7450E5D5" w14:textId="77777777" w:rsidR="00E244C6" w:rsidRPr="007D49D9" w:rsidRDefault="00E244C6" w:rsidP="00E244C6">
    <w:pPr>
      <w:pStyle w:val="ProductList-Body"/>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137C7427" w14:textId="77777777" w:rsidTr="00674FD5">
      <w:tc>
        <w:tcPr>
          <w:tcW w:w="1975" w:type="dxa"/>
          <w:shd w:val="clear" w:color="auto" w:fill="F2F2F2"/>
          <w:vAlign w:val="center"/>
        </w:tcPr>
        <w:p w14:paraId="621C83A9"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7AF3E20E"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3426FF"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0C904D6"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ACB7DDB"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0BA7F48E"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455DB5B1"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710136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EC62B6A" w14:textId="294433C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880AC59" w14:textId="77777777" w:rsidR="00E244C6" w:rsidRPr="007D49D9" w:rsidRDefault="00E244C6" w:rsidP="00E244C6">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7C3DC" w14:textId="77777777" w:rsidR="005A5C9A" w:rsidRDefault="005A5C9A" w:rsidP="009A573F">
      <w:pPr>
        <w:spacing w:after="0" w:line="240" w:lineRule="auto"/>
      </w:pPr>
      <w:r>
        <w:separator/>
      </w:r>
    </w:p>
    <w:p w14:paraId="5301A0D1" w14:textId="77777777" w:rsidR="005A5C9A" w:rsidRDefault="005A5C9A"/>
    <w:p w14:paraId="00836039" w14:textId="77777777" w:rsidR="005A5C9A" w:rsidRDefault="005A5C9A"/>
    <w:p w14:paraId="4B0F2C92" w14:textId="77777777" w:rsidR="005A5C9A" w:rsidRDefault="005A5C9A"/>
    <w:p w14:paraId="202DA9EB" w14:textId="77777777" w:rsidR="005A5C9A" w:rsidRDefault="005A5C9A"/>
  </w:footnote>
  <w:footnote w:type="continuationSeparator" w:id="0">
    <w:p w14:paraId="2CBE7DAA" w14:textId="77777777" w:rsidR="005A5C9A" w:rsidRDefault="005A5C9A" w:rsidP="009A573F">
      <w:pPr>
        <w:spacing w:after="0" w:line="240" w:lineRule="auto"/>
      </w:pPr>
      <w:r>
        <w:continuationSeparator/>
      </w:r>
    </w:p>
    <w:p w14:paraId="22E7AC31" w14:textId="77777777" w:rsidR="005A5C9A" w:rsidRDefault="005A5C9A"/>
    <w:p w14:paraId="2CC58794" w14:textId="77777777" w:rsidR="005A5C9A" w:rsidRDefault="005A5C9A"/>
    <w:p w14:paraId="30EEFFF3" w14:textId="77777777" w:rsidR="005A5C9A" w:rsidRDefault="005A5C9A"/>
    <w:p w14:paraId="5BDDD62E" w14:textId="77777777" w:rsidR="005A5C9A" w:rsidRDefault="005A5C9A"/>
  </w:footnote>
  <w:footnote w:type="continuationNotice" w:id="1">
    <w:p w14:paraId="75E8AE23" w14:textId="77777777" w:rsidR="005A5C9A" w:rsidRDefault="005A5C9A">
      <w:pPr>
        <w:spacing w:after="0" w:line="240" w:lineRule="auto"/>
      </w:pPr>
    </w:p>
    <w:p w14:paraId="7A6D615C" w14:textId="77777777" w:rsidR="005A5C9A" w:rsidRDefault="005A5C9A"/>
    <w:p w14:paraId="513CEEF2" w14:textId="77777777" w:rsidR="005A5C9A" w:rsidRDefault="005A5C9A"/>
    <w:p w14:paraId="29A7A2BE" w14:textId="77777777" w:rsidR="005A5C9A" w:rsidRDefault="005A5C9A"/>
    <w:p w14:paraId="1F1B0AEC" w14:textId="77777777" w:rsidR="005A5C9A" w:rsidRDefault="005A5C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7A02E2FF" w:rsidR="0038030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380305">
          <w:rPr>
            <w:sz w:val="16"/>
            <w:szCs w:val="16"/>
          </w:rPr>
          <w:t xml:space="preserve">Contrato de Nível de Serviço com Licenciamento em Volume da Microsoft para Serviços Online da Microsoft (Português de Portugal, 1 de </w:t>
        </w:r>
        <w:r w:rsidR="00B81530">
          <w:rPr>
            <w:rFonts w:ascii="Calibri" w:hAnsi="Calibri" w:cs="Calibri"/>
            <w:sz w:val="16"/>
            <w:szCs w:val="16"/>
          </w:rPr>
          <w:t>novembro</w:t>
        </w:r>
        <w:r w:rsidR="00DF12EB">
          <w:rPr>
            <w:rFonts w:ascii="Calibri" w:hAnsi="Calibri" w:cs="Calibri"/>
            <w:sz w:val="16"/>
            <w:szCs w:val="16"/>
          </w:rPr>
          <w:t xml:space="preserve"> de 2024</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10</w:t>
        </w:r>
        <w:r w:rsidR="0038030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2E8B640D" w:rsidR="0038030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380305">
          <w:rPr>
            <w:sz w:val="16"/>
            <w:szCs w:val="16"/>
          </w:rPr>
          <w:t xml:space="preserve">Contrato de Nível de Serviço com Licenciamento em Volume da Microsoft para Serviços Online da Microsoft (Português de Portugal, 1 de </w:t>
        </w:r>
        <w:r w:rsidR="00B81530">
          <w:rPr>
            <w:rFonts w:ascii="Calibri" w:hAnsi="Calibri" w:cs="Calibri"/>
            <w:sz w:val="16"/>
            <w:szCs w:val="16"/>
          </w:rPr>
          <w:t>novembro</w:t>
        </w:r>
        <w:r w:rsidR="00E6529B">
          <w:rPr>
            <w:rFonts w:ascii="Calibri" w:hAnsi="Calibri" w:cs="Calibri"/>
            <w:sz w:val="16"/>
            <w:szCs w:val="16"/>
          </w:rPr>
          <w:t xml:space="preserve"> </w:t>
        </w:r>
        <w:r w:rsidR="00DF12EB">
          <w:rPr>
            <w:rFonts w:ascii="Calibri" w:hAnsi="Calibri" w:cs="Calibri"/>
            <w:sz w:val="16"/>
            <w:szCs w:val="16"/>
          </w:rPr>
          <w:t>de 2024</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2</w:t>
        </w:r>
        <w:r w:rsidR="0038030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AF3A26"/>
    <w:multiLevelType w:val="hybridMultilevel"/>
    <w:tmpl w:val="F25665EE"/>
    <w:lvl w:ilvl="0" w:tplc="898C453A">
      <w:start w:val="1"/>
      <w:numFmt w:val="bullet"/>
      <w:lvlText w:val=""/>
      <w:lvlJc w:val="left"/>
      <w:pPr>
        <w:ind w:left="720" w:hanging="360"/>
      </w:pPr>
      <w:rPr>
        <w:rFonts w:ascii="Symbol" w:hAnsi="Symbol" w:hint="default"/>
      </w:rPr>
    </w:lvl>
    <w:lvl w:ilvl="1" w:tplc="165C3F84" w:tentative="1">
      <w:start w:val="1"/>
      <w:numFmt w:val="bullet"/>
      <w:lvlText w:val="o"/>
      <w:lvlJc w:val="left"/>
      <w:pPr>
        <w:ind w:left="1440" w:hanging="360"/>
      </w:pPr>
      <w:rPr>
        <w:rFonts w:ascii="Courier New" w:hAnsi="Courier New" w:cs="Courier New" w:hint="default"/>
      </w:rPr>
    </w:lvl>
    <w:lvl w:ilvl="2" w:tplc="24C021B2" w:tentative="1">
      <w:start w:val="1"/>
      <w:numFmt w:val="bullet"/>
      <w:lvlText w:val=""/>
      <w:lvlJc w:val="left"/>
      <w:pPr>
        <w:ind w:left="2160" w:hanging="360"/>
      </w:pPr>
      <w:rPr>
        <w:rFonts w:ascii="Wingdings" w:hAnsi="Wingdings" w:hint="default"/>
      </w:rPr>
    </w:lvl>
    <w:lvl w:ilvl="3" w:tplc="F006BB6C" w:tentative="1">
      <w:start w:val="1"/>
      <w:numFmt w:val="bullet"/>
      <w:lvlText w:val=""/>
      <w:lvlJc w:val="left"/>
      <w:pPr>
        <w:ind w:left="2880" w:hanging="360"/>
      </w:pPr>
      <w:rPr>
        <w:rFonts w:ascii="Symbol" w:hAnsi="Symbol" w:hint="default"/>
      </w:rPr>
    </w:lvl>
    <w:lvl w:ilvl="4" w:tplc="92F682C0" w:tentative="1">
      <w:start w:val="1"/>
      <w:numFmt w:val="bullet"/>
      <w:lvlText w:val="o"/>
      <w:lvlJc w:val="left"/>
      <w:pPr>
        <w:ind w:left="3600" w:hanging="360"/>
      </w:pPr>
      <w:rPr>
        <w:rFonts w:ascii="Courier New" w:hAnsi="Courier New" w:cs="Courier New" w:hint="default"/>
      </w:rPr>
    </w:lvl>
    <w:lvl w:ilvl="5" w:tplc="6FD83E42" w:tentative="1">
      <w:start w:val="1"/>
      <w:numFmt w:val="bullet"/>
      <w:lvlText w:val=""/>
      <w:lvlJc w:val="left"/>
      <w:pPr>
        <w:ind w:left="4320" w:hanging="360"/>
      </w:pPr>
      <w:rPr>
        <w:rFonts w:ascii="Wingdings" w:hAnsi="Wingdings" w:hint="default"/>
      </w:rPr>
    </w:lvl>
    <w:lvl w:ilvl="6" w:tplc="BAE42BC0" w:tentative="1">
      <w:start w:val="1"/>
      <w:numFmt w:val="bullet"/>
      <w:lvlText w:val=""/>
      <w:lvlJc w:val="left"/>
      <w:pPr>
        <w:ind w:left="5040" w:hanging="360"/>
      </w:pPr>
      <w:rPr>
        <w:rFonts w:ascii="Symbol" w:hAnsi="Symbol" w:hint="default"/>
      </w:rPr>
    </w:lvl>
    <w:lvl w:ilvl="7" w:tplc="ABA0AB04" w:tentative="1">
      <w:start w:val="1"/>
      <w:numFmt w:val="bullet"/>
      <w:lvlText w:val="o"/>
      <w:lvlJc w:val="left"/>
      <w:pPr>
        <w:ind w:left="5760" w:hanging="360"/>
      </w:pPr>
      <w:rPr>
        <w:rFonts w:ascii="Courier New" w:hAnsi="Courier New" w:cs="Courier New" w:hint="default"/>
      </w:rPr>
    </w:lvl>
    <w:lvl w:ilvl="8" w:tplc="41DE5C62" w:tentative="1">
      <w:start w:val="1"/>
      <w:numFmt w:val="bullet"/>
      <w:lvlText w:val=""/>
      <w:lvlJc w:val="left"/>
      <w:pPr>
        <w:ind w:left="6480" w:hanging="360"/>
      </w:pPr>
      <w:rPr>
        <w:rFonts w:ascii="Wingdings" w:hAnsi="Wingdings" w:hint="default"/>
      </w:rPr>
    </w:lvl>
  </w:abstractNum>
  <w:abstractNum w:abstractNumId="10" w15:restartNumberingAfterBreak="0">
    <w:nsid w:val="1B485205"/>
    <w:multiLevelType w:val="hybridMultilevel"/>
    <w:tmpl w:val="94E81E52"/>
    <w:lvl w:ilvl="0" w:tplc="AF280CFE">
      <w:start w:val="1"/>
      <w:numFmt w:val="bullet"/>
      <w:lvlText w:val=""/>
      <w:lvlJc w:val="left"/>
      <w:pPr>
        <w:ind w:left="720" w:hanging="360"/>
      </w:pPr>
      <w:rPr>
        <w:rFonts w:ascii="Symbol" w:hAnsi="Symbol" w:hint="default"/>
      </w:rPr>
    </w:lvl>
    <w:lvl w:ilvl="1" w:tplc="AB36B1F6" w:tentative="1">
      <w:start w:val="1"/>
      <w:numFmt w:val="bullet"/>
      <w:lvlText w:val="o"/>
      <w:lvlJc w:val="left"/>
      <w:pPr>
        <w:ind w:left="1440" w:hanging="360"/>
      </w:pPr>
      <w:rPr>
        <w:rFonts w:ascii="Courier New" w:hAnsi="Courier New" w:cs="Courier New" w:hint="default"/>
      </w:rPr>
    </w:lvl>
    <w:lvl w:ilvl="2" w:tplc="A9B04EFC" w:tentative="1">
      <w:start w:val="1"/>
      <w:numFmt w:val="bullet"/>
      <w:lvlText w:val=""/>
      <w:lvlJc w:val="left"/>
      <w:pPr>
        <w:ind w:left="2160" w:hanging="360"/>
      </w:pPr>
      <w:rPr>
        <w:rFonts w:ascii="Wingdings" w:hAnsi="Wingdings" w:hint="default"/>
      </w:rPr>
    </w:lvl>
    <w:lvl w:ilvl="3" w:tplc="71E28C72" w:tentative="1">
      <w:start w:val="1"/>
      <w:numFmt w:val="bullet"/>
      <w:lvlText w:val=""/>
      <w:lvlJc w:val="left"/>
      <w:pPr>
        <w:ind w:left="2880" w:hanging="360"/>
      </w:pPr>
      <w:rPr>
        <w:rFonts w:ascii="Symbol" w:hAnsi="Symbol" w:hint="default"/>
      </w:rPr>
    </w:lvl>
    <w:lvl w:ilvl="4" w:tplc="9210D430" w:tentative="1">
      <w:start w:val="1"/>
      <w:numFmt w:val="bullet"/>
      <w:lvlText w:val="o"/>
      <w:lvlJc w:val="left"/>
      <w:pPr>
        <w:ind w:left="3600" w:hanging="360"/>
      </w:pPr>
      <w:rPr>
        <w:rFonts w:ascii="Courier New" w:hAnsi="Courier New" w:cs="Courier New" w:hint="default"/>
      </w:rPr>
    </w:lvl>
    <w:lvl w:ilvl="5" w:tplc="EDC66D2C" w:tentative="1">
      <w:start w:val="1"/>
      <w:numFmt w:val="bullet"/>
      <w:lvlText w:val=""/>
      <w:lvlJc w:val="left"/>
      <w:pPr>
        <w:ind w:left="4320" w:hanging="360"/>
      </w:pPr>
      <w:rPr>
        <w:rFonts w:ascii="Wingdings" w:hAnsi="Wingdings" w:hint="default"/>
      </w:rPr>
    </w:lvl>
    <w:lvl w:ilvl="6" w:tplc="9D08D09E" w:tentative="1">
      <w:start w:val="1"/>
      <w:numFmt w:val="bullet"/>
      <w:lvlText w:val=""/>
      <w:lvlJc w:val="left"/>
      <w:pPr>
        <w:ind w:left="5040" w:hanging="360"/>
      </w:pPr>
      <w:rPr>
        <w:rFonts w:ascii="Symbol" w:hAnsi="Symbol" w:hint="default"/>
      </w:rPr>
    </w:lvl>
    <w:lvl w:ilvl="7" w:tplc="BF34C278" w:tentative="1">
      <w:start w:val="1"/>
      <w:numFmt w:val="bullet"/>
      <w:lvlText w:val="o"/>
      <w:lvlJc w:val="left"/>
      <w:pPr>
        <w:ind w:left="5760" w:hanging="360"/>
      </w:pPr>
      <w:rPr>
        <w:rFonts w:ascii="Courier New" w:hAnsi="Courier New" w:cs="Courier New" w:hint="default"/>
      </w:rPr>
    </w:lvl>
    <w:lvl w:ilvl="8" w:tplc="EC5AE762" w:tentative="1">
      <w:start w:val="1"/>
      <w:numFmt w:val="bullet"/>
      <w:lvlText w:val=""/>
      <w:lvlJc w:val="left"/>
      <w:pPr>
        <w:ind w:left="6480" w:hanging="360"/>
      </w:pPr>
      <w:rPr>
        <w:rFonts w:ascii="Wingdings" w:hAnsi="Wingdings" w:hint="default"/>
      </w:rPr>
    </w:lvl>
  </w:abstractNum>
  <w:abstractNum w:abstractNumId="11"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006C0B"/>
    <w:multiLevelType w:val="multilevel"/>
    <w:tmpl w:val="0548D5C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3586245"/>
    <w:multiLevelType w:val="hybridMultilevel"/>
    <w:tmpl w:val="87B6B078"/>
    <w:lvl w:ilvl="0" w:tplc="B1E66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70748619">
    <w:abstractNumId w:val="43"/>
  </w:num>
  <w:num w:numId="2" w16cid:durableId="676343050">
    <w:abstractNumId w:val="27"/>
  </w:num>
  <w:num w:numId="3" w16cid:durableId="2083674415">
    <w:abstractNumId w:val="16"/>
  </w:num>
  <w:num w:numId="4" w16cid:durableId="1914269571">
    <w:abstractNumId w:val="39"/>
  </w:num>
  <w:num w:numId="5" w16cid:durableId="1464036894">
    <w:abstractNumId w:val="1"/>
  </w:num>
  <w:num w:numId="6" w16cid:durableId="906037492">
    <w:abstractNumId w:val="34"/>
  </w:num>
  <w:num w:numId="7" w16cid:durableId="1811287243">
    <w:abstractNumId w:val="24"/>
  </w:num>
  <w:num w:numId="8" w16cid:durableId="429815562">
    <w:abstractNumId w:val="33"/>
  </w:num>
  <w:num w:numId="9" w16cid:durableId="1212421484">
    <w:abstractNumId w:val="29"/>
  </w:num>
  <w:num w:numId="10" w16cid:durableId="1152136060">
    <w:abstractNumId w:val="4"/>
  </w:num>
  <w:num w:numId="11" w16cid:durableId="1067146794">
    <w:abstractNumId w:val="3"/>
  </w:num>
  <w:num w:numId="12" w16cid:durableId="1020010598">
    <w:abstractNumId w:val="7"/>
  </w:num>
  <w:num w:numId="13" w16cid:durableId="1077895288">
    <w:abstractNumId w:val="45"/>
  </w:num>
  <w:num w:numId="14" w16cid:durableId="1474054354">
    <w:abstractNumId w:val="41"/>
  </w:num>
  <w:num w:numId="15" w16cid:durableId="662391398">
    <w:abstractNumId w:val="18"/>
  </w:num>
  <w:num w:numId="16" w16cid:durableId="1356925131">
    <w:abstractNumId w:val="26"/>
  </w:num>
  <w:num w:numId="17" w16cid:durableId="1457677005">
    <w:abstractNumId w:val="28"/>
  </w:num>
  <w:num w:numId="18" w16cid:durableId="557277237">
    <w:abstractNumId w:val="42"/>
  </w:num>
  <w:num w:numId="19" w16cid:durableId="1397781744">
    <w:abstractNumId w:val="6"/>
  </w:num>
  <w:num w:numId="20" w16cid:durableId="624628384">
    <w:abstractNumId w:val="12"/>
  </w:num>
  <w:num w:numId="21" w16cid:durableId="608202475">
    <w:abstractNumId w:val="25"/>
  </w:num>
  <w:num w:numId="22" w16cid:durableId="713969676">
    <w:abstractNumId w:val="22"/>
  </w:num>
  <w:num w:numId="23" w16cid:durableId="1203635">
    <w:abstractNumId w:val="23"/>
  </w:num>
  <w:num w:numId="24" w16cid:durableId="1898273707">
    <w:abstractNumId w:val="40"/>
  </w:num>
  <w:num w:numId="25" w16cid:durableId="6060108">
    <w:abstractNumId w:val="0"/>
  </w:num>
  <w:num w:numId="26" w16cid:durableId="775716256">
    <w:abstractNumId w:val="2"/>
  </w:num>
  <w:num w:numId="27" w16cid:durableId="297148162">
    <w:abstractNumId w:val="20"/>
  </w:num>
  <w:num w:numId="28" w16cid:durableId="799112112">
    <w:abstractNumId w:val="44"/>
  </w:num>
  <w:num w:numId="29" w16cid:durableId="1450396582">
    <w:abstractNumId w:val="14"/>
  </w:num>
  <w:num w:numId="30" w16cid:durableId="22051518">
    <w:abstractNumId w:val="17"/>
  </w:num>
  <w:num w:numId="31" w16cid:durableId="1592009437">
    <w:abstractNumId w:val="8"/>
  </w:num>
  <w:num w:numId="32" w16cid:durableId="1199732938">
    <w:abstractNumId w:val="19"/>
  </w:num>
  <w:num w:numId="33" w16cid:durableId="228729692">
    <w:abstractNumId w:val="13"/>
  </w:num>
  <w:num w:numId="34" w16cid:durableId="2094277879">
    <w:abstractNumId w:val="31"/>
  </w:num>
  <w:num w:numId="35" w16cid:durableId="484781895">
    <w:abstractNumId w:val="11"/>
  </w:num>
  <w:num w:numId="36" w16cid:durableId="3942838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855008">
    <w:abstractNumId w:val="38"/>
  </w:num>
  <w:num w:numId="38" w16cid:durableId="1097016701">
    <w:abstractNumId w:val="37"/>
  </w:num>
  <w:num w:numId="39" w16cid:durableId="281883770">
    <w:abstractNumId w:val="35"/>
  </w:num>
  <w:num w:numId="40" w16cid:durableId="1034231075">
    <w:abstractNumId w:val="5"/>
  </w:num>
  <w:num w:numId="41" w16cid:durableId="1212690517">
    <w:abstractNumId w:val="36"/>
  </w:num>
  <w:num w:numId="42" w16cid:durableId="157842551">
    <w:abstractNumId w:val="32"/>
  </w:num>
  <w:num w:numId="43" w16cid:durableId="1704204850">
    <w:abstractNumId w:val="30"/>
  </w:num>
  <w:num w:numId="44" w16cid:durableId="1967008098">
    <w:abstractNumId w:val="21"/>
  </w:num>
  <w:num w:numId="45" w16cid:durableId="2050719396">
    <w:abstractNumId w:val="15"/>
  </w:num>
  <w:num w:numId="46" w16cid:durableId="1365448681">
    <w:abstractNumId w:val="9"/>
  </w:num>
  <w:num w:numId="47" w16cid:durableId="204505685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Gb36tyvvK0ZpT5GVI9isMjgx+RZcklJq//27vx6h9hJbVBgBonxGEGAFk3eEbbxnYc08bt1gI6Xf6ny3gRmJvw==" w:salt="LkfsF7yPH2H4Qytye7sZE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989"/>
    <w:rsid w:val="00002CD6"/>
    <w:rsid w:val="00003307"/>
    <w:rsid w:val="00003FD2"/>
    <w:rsid w:val="0000417A"/>
    <w:rsid w:val="00004697"/>
    <w:rsid w:val="00004BE2"/>
    <w:rsid w:val="000056F6"/>
    <w:rsid w:val="00006365"/>
    <w:rsid w:val="00006EDC"/>
    <w:rsid w:val="00007391"/>
    <w:rsid w:val="0000793E"/>
    <w:rsid w:val="00007E40"/>
    <w:rsid w:val="000106A8"/>
    <w:rsid w:val="00010930"/>
    <w:rsid w:val="00010E6D"/>
    <w:rsid w:val="00011653"/>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075"/>
    <w:rsid w:val="00017346"/>
    <w:rsid w:val="00017C88"/>
    <w:rsid w:val="000201CE"/>
    <w:rsid w:val="000211C1"/>
    <w:rsid w:val="0002120A"/>
    <w:rsid w:val="0002129B"/>
    <w:rsid w:val="0002175D"/>
    <w:rsid w:val="00021B59"/>
    <w:rsid w:val="00021C99"/>
    <w:rsid w:val="00021F08"/>
    <w:rsid w:val="000223BC"/>
    <w:rsid w:val="000228B0"/>
    <w:rsid w:val="00024B72"/>
    <w:rsid w:val="00024FE1"/>
    <w:rsid w:val="00025477"/>
    <w:rsid w:val="00025908"/>
    <w:rsid w:val="0002605D"/>
    <w:rsid w:val="00026DDE"/>
    <w:rsid w:val="000270A4"/>
    <w:rsid w:val="0002719C"/>
    <w:rsid w:val="00031223"/>
    <w:rsid w:val="00031662"/>
    <w:rsid w:val="00032082"/>
    <w:rsid w:val="0003269D"/>
    <w:rsid w:val="00032DD0"/>
    <w:rsid w:val="000331B9"/>
    <w:rsid w:val="000346AC"/>
    <w:rsid w:val="00034D3B"/>
    <w:rsid w:val="000357C5"/>
    <w:rsid w:val="00035F22"/>
    <w:rsid w:val="00036242"/>
    <w:rsid w:val="0003651D"/>
    <w:rsid w:val="00040120"/>
    <w:rsid w:val="000401F7"/>
    <w:rsid w:val="00040759"/>
    <w:rsid w:val="00040878"/>
    <w:rsid w:val="0004094B"/>
    <w:rsid w:val="00040AB1"/>
    <w:rsid w:val="00040DA8"/>
    <w:rsid w:val="00041620"/>
    <w:rsid w:val="00041E0A"/>
    <w:rsid w:val="00042CC1"/>
    <w:rsid w:val="00042DC2"/>
    <w:rsid w:val="00043712"/>
    <w:rsid w:val="000438F9"/>
    <w:rsid w:val="00043BAC"/>
    <w:rsid w:val="00044317"/>
    <w:rsid w:val="00045168"/>
    <w:rsid w:val="00045C64"/>
    <w:rsid w:val="0004685C"/>
    <w:rsid w:val="000469DE"/>
    <w:rsid w:val="00047018"/>
    <w:rsid w:val="000476AA"/>
    <w:rsid w:val="00047DC7"/>
    <w:rsid w:val="00050163"/>
    <w:rsid w:val="000506C5"/>
    <w:rsid w:val="00050BC6"/>
    <w:rsid w:val="000514F4"/>
    <w:rsid w:val="0005158E"/>
    <w:rsid w:val="00052115"/>
    <w:rsid w:val="000521B5"/>
    <w:rsid w:val="00052E1C"/>
    <w:rsid w:val="00053629"/>
    <w:rsid w:val="00053691"/>
    <w:rsid w:val="00053D7E"/>
    <w:rsid w:val="00053FEF"/>
    <w:rsid w:val="000541DB"/>
    <w:rsid w:val="0005465C"/>
    <w:rsid w:val="00054762"/>
    <w:rsid w:val="00055772"/>
    <w:rsid w:val="00056265"/>
    <w:rsid w:val="000562B9"/>
    <w:rsid w:val="00056522"/>
    <w:rsid w:val="0005666E"/>
    <w:rsid w:val="00056767"/>
    <w:rsid w:val="00056D89"/>
    <w:rsid w:val="00056FAF"/>
    <w:rsid w:val="00057D38"/>
    <w:rsid w:val="00057D82"/>
    <w:rsid w:val="000602B4"/>
    <w:rsid w:val="00060BB6"/>
    <w:rsid w:val="00060F59"/>
    <w:rsid w:val="00061075"/>
    <w:rsid w:val="0006109B"/>
    <w:rsid w:val="0006114A"/>
    <w:rsid w:val="00061A8B"/>
    <w:rsid w:val="00061F6E"/>
    <w:rsid w:val="00063633"/>
    <w:rsid w:val="000642C3"/>
    <w:rsid w:val="00067286"/>
    <w:rsid w:val="0006740A"/>
    <w:rsid w:val="000676B3"/>
    <w:rsid w:val="0006787D"/>
    <w:rsid w:val="00067B4B"/>
    <w:rsid w:val="000710A6"/>
    <w:rsid w:val="00071A79"/>
    <w:rsid w:val="00071C2C"/>
    <w:rsid w:val="0007363B"/>
    <w:rsid w:val="00073F3C"/>
    <w:rsid w:val="0007491F"/>
    <w:rsid w:val="00075137"/>
    <w:rsid w:val="0007551D"/>
    <w:rsid w:val="00075561"/>
    <w:rsid w:val="000756A2"/>
    <w:rsid w:val="00075BBB"/>
    <w:rsid w:val="00076CC4"/>
    <w:rsid w:val="00076D26"/>
    <w:rsid w:val="00077286"/>
    <w:rsid w:val="000776AB"/>
    <w:rsid w:val="0007788F"/>
    <w:rsid w:val="000779FD"/>
    <w:rsid w:val="00077A6B"/>
    <w:rsid w:val="000805F3"/>
    <w:rsid w:val="00081149"/>
    <w:rsid w:val="00081380"/>
    <w:rsid w:val="00081B1C"/>
    <w:rsid w:val="00081CA7"/>
    <w:rsid w:val="0008293B"/>
    <w:rsid w:val="00082AA8"/>
    <w:rsid w:val="0008307A"/>
    <w:rsid w:val="00083564"/>
    <w:rsid w:val="00083FE8"/>
    <w:rsid w:val="00084635"/>
    <w:rsid w:val="00084C5A"/>
    <w:rsid w:val="00085833"/>
    <w:rsid w:val="00085A0D"/>
    <w:rsid w:val="00085CEE"/>
    <w:rsid w:val="00085D21"/>
    <w:rsid w:val="000872EB"/>
    <w:rsid w:val="00087BC2"/>
    <w:rsid w:val="00087DB8"/>
    <w:rsid w:val="00087E64"/>
    <w:rsid w:val="000900F7"/>
    <w:rsid w:val="00090E7C"/>
    <w:rsid w:val="000915D5"/>
    <w:rsid w:val="0009164C"/>
    <w:rsid w:val="000918AB"/>
    <w:rsid w:val="00092062"/>
    <w:rsid w:val="00092257"/>
    <w:rsid w:val="000933AB"/>
    <w:rsid w:val="00094E0B"/>
    <w:rsid w:val="000953A4"/>
    <w:rsid w:val="00095673"/>
    <w:rsid w:val="0009588E"/>
    <w:rsid w:val="0009720F"/>
    <w:rsid w:val="000972B6"/>
    <w:rsid w:val="000972E7"/>
    <w:rsid w:val="000974C9"/>
    <w:rsid w:val="000A03D2"/>
    <w:rsid w:val="000A05E2"/>
    <w:rsid w:val="000A0AC7"/>
    <w:rsid w:val="000A0C63"/>
    <w:rsid w:val="000A0CD9"/>
    <w:rsid w:val="000A216A"/>
    <w:rsid w:val="000A2E8E"/>
    <w:rsid w:val="000A3AA1"/>
    <w:rsid w:val="000A57B7"/>
    <w:rsid w:val="000A5DC6"/>
    <w:rsid w:val="000A5FA1"/>
    <w:rsid w:val="000A6233"/>
    <w:rsid w:val="000A68A8"/>
    <w:rsid w:val="000A6F07"/>
    <w:rsid w:val="000A7E41"/>
    <w:rsid w:val="000B0114"/>
    <w:rsid w:val="000B02C9"/>
    <w:rsid w:val="000B098B"/>
    <w:rsid w:val="000B09BD"/>
    <w:rsid w:val="000B0EE9"/>
    <w:rsid w:val="000B143A"/>
    <w:rsid w:val="000B1561"/>
    <w:rsid w:val="000B2005"/>
    <w:rsid w:val="000B24EC"/>
    <w:rsid w:val="000B2C97"/>
    <w:rsid w:val="000B2E2F"/>
    <w:rsid w:val="000B2E8C"/>
    <w:rsid w:val="000B38CA"/>
    <w:rsid w:val="000B7F4B"/>
    <w:rsid w:val="000C0007"/>
    <w:rsid w:val="000C0156"/>
    <w:rsid w:val="000C0331"/>
    <w:rsid w:val="000C03EC"/>
    <w:rsid w:val="000C05C9"/>
    <w:rsid w:val="000C0ACA"/>
    <w:rsid w:val="000C13D4"/>
    <w:rsid w:val="000C1785"/>
    <w:rsid w:val="000C1AEC"/>
    <w:rsid w:val="000C2CAE"/>
    <w:rsid w:val="000C3BE3"/>
    <w:rsid w:val="000C457F"/>
    <w:rsid w:val="000C4BD0"/>
    <w:rsid w:val="000C4CD3"/>
    <w:rsid w:val="000C5AF3"/>
    <w:rsid w:val="000C5BE8"/>
    <w:rsid w:val="000C6732"/>
    <w:rsid w:val="000C67DE"/>
    <w:rsid w:val="000C688A"/>
    <w:rsid w:val="000C79C9"/>
    <w:rsid w:val="000C7D2A"/>
    <w:rsid w:val="000D1B93"/>
    <w:rsid w:val="000D29F0"/>
    <w:rsid w:val="000D2AE0"/>
    <w:rsid w:val="000D2BDB"/>
    <w:rsid w:val="000D41C7"/>
    <w:rsid w:val="000D4219"/>
    <w:rsid w:val="000D47D0"/>
    <w:rsid w:val="000D4A08"/>
    <w:rsid w:val="000D51B2"/>
    <w:rsid w:val="000D5314"/>
    <w:rsid w:val="000D5752"/>
    <w:rsid w:val="000D5A78"/>
    <w:rsid w:val="000D5E17"/>
    <w:rsid w:val="000D6060"/>
    <w:rsid w:val="000D635C"/>
    <w:rsid w:val="000D64BE"/>
    <w:rsid w:val="000D693B"/>
    <w:rsid w:val="000D71BE"/>
    <w:rsid w:val="000D7418"/>
    <w:rsid w:val="000D7CD0"/>
    <w:rsid w:val="000E08C0"/>
    <w:rsid w:val="000E0CD6"/>
    <w:rsid w:val="000E1DEC"/>
    <w:rsid w:val="000E2113"/>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30"/>
    <w:rsid w:val="000F41E8"/>
    <w:rsid w:val="000F4E13"/>
    <w:rsid w:val="000F56C8"/>
    <w:rsid w:val="001000C6"/>
    <w:rsid w:val="001009D4"/>
    <w:rsid w:val="001012EB"/>
    <w:rsid w:val="00101342"/>
    <w:rsid w:val="001040A6"/>
    <w:rsid w:val="00104DBC"/>
    <w:rsid w:val="0010585C"/>
    <w:rsid w:val="0010587C"/>
    <w:rsid w:val="00105B4C"/>
    <w:rsid w:val="00105D51"/>
    <w:rsid w:val="00106C29"/>
    <w:rsid w:val="00107441"/>
    <w:rsid w:val="001079F6"/>
    <w:rsid w:val="00107EFC"/>
    <w:rsid w:val="00107F31"/>
    <w:rsid w:val="00110BAD"/>
    <w:rsid w:val="00111408"/>
    <w:rsid w:val="00111A7A"/>
    <w:rsid w:val="00111C8E"/>
    <w:rsid w:val="00111C9C"/>
    <w:rsid w:val="00111EE9"/>
    <w:rsid w:val="00112A23"/>
    <w:rsid w:val="0011309F"/>
    <w:rsid w:val="00113A89"/>
    <w:rsid w:val="00113B71"/>
    <w:rsid w:val="00114B26"/>
    <w:rsid w:val="001151EF"/>
    <w:rsid w:val="001155F9"/>
    <w:rsid w:val="00115987"/>
    <w:rsid w:val="001205C6"/>
    <w:rsid w:val="00120CC2"/>
    <w:rsid w:val="00122CF3"/>
    <w:rsid w:val="00122D3E"/>
    <w:rsid w:val="00122DB6"/>
    <w:rsid w:val="00122F40"/>
    <w:rsid w:val="001235AF"/>
    <w:rsid w:val="00123ABC"/>
    <w:rsid w:val="0012403F"/>
    <w:rsid w:val="001242BA"/>
    <w:rsid w:val="00124F73"/>
    <w:rsid w:val="00125081"/>
    <w:rsid w:val="001250CC"/>
    <w:rsid w:val="00125581"/>
    <w:rsid w:val="00125CBE"/>
    <w:rsid w:val="00125F0C"/>
    <w:rsid w:val="00126263"/>
    <w:rsid w:val="001268E5"/>
    <w:rsid w:val="001269CA"/>
    <w:rsid w:val="00126DC2"/>
    <w:rsid w:val="00127510"/>
    <w:rsid w:val="00127C5F"/>
    <w:rsid w:val="001320C2"/>
    <w:rsid w:val="00132982"/>
    <w:rsid w:val="00132A99"/>
    <w:rsid w:val="0013320F"/>
    <w:rsid w:val="001344BF"/>
    <w:rsid w:val="001345FE"/>
    <w:rsid w:val="0013474F"/>
    <w:rsid w:val="00134DA1"/>
    <w:rsid w:val="00134EF8"/>
    <w:rsid w:val="00135786"/>
    <w:rsid w:val="00136452"/>
    <w:rsid w:val="001364FA"/>
    <w:rsid w:val="00136599"/>
    <w:rsid w:val="0013659B"/>
    <w:rsid w:val="00136A62"/>
    <w:rsid w:val="001372AB"/>
    <w:rsid w:val="00137741"/>
    <w:rsid w:val="00137E59"/>
    <w:rsid w:val="00140900"/>
    <w:rsid w:val="00140A95"/>
    <w:rsid w:val="0014192B"/>
    <w:rsid w:val="00141936"/>
    <w:rsid w:val="00141C86"/>
    <w:rsid w:val="00141CAD"/>
    <w:rsid w:val="00141F07"/>
    <w:rsid w:val="00142BC8"/>
    <w:rsid w:val="001439A9"/>
    <w:rsid w:val="00144735"/>
    <w:rsid w:val="00144A5E"/>
    <w:rsid w:val="00146E03"/>
    <w:rsid w:val="00147224"/>
    <w:rsid w:val="001472FC"/>
    <w:rsid w:val="001479F5"/>
    <w:rsid w:val="00150F54"/>
    <w:rsid w:val="00151002"/>
    <w:rsid w:val="001517E0"/>
    <w:rsid w:val="001525A3"/>
    <w:rsid w:val="00153021"/>
    <w:rsid w:val="0015371D"/>
    <w:rsid w:val="00153A22"/>
    <w:rsid w:val="0015445A"/>
    <w:rsid w:val="001560B4"/>
    <w:rsid w:val="00156234"/>
    <w:rsid w:val="00156C1C"/>
    <w:rsid w:val="001571CB"/>
    <w:rsid w:val="00157240"/>
    <w:rsid w:val="0015746B"/>
    <w:rsid w:val="0015785C"/>
    <w:rsid w:val="001602AC"/>
    <w:rsid w:val="001602F8"/>
    <w:rsid w:val="00160676"/>
    <w:rsid w:val="001606C9"/>
    <w:rsid w:val="00160F75"/>
    <w:rsid w:val="001613A3"/>
    <w:rsid w:val="0016181D"/>
    <w:rsid w:val="00161EBB"/>
    <w:rsid w:val="00161F35"/>
    <w:rsid w:val="00163053"/>
    <w:rsid w:val="00164026"/>
    <w:rsid w:val="00165138"/>
    <w:rsid w:val="00165962"/>
    <w:rsid w:val="00165F81"/>
    <w:rsid w:val="00166039"/>
    <w:rsid w:val="001667A8"/>
    <w:rsid w:val="00166978"/>
    <w:rsid w:val="00166E69"/>
    <w:rsid w:val="00167128"/>
    <w:rsid w:val="00167443"/>
    <w:rsid w:val="00167E37"/>
    <w:rsid w:val="00170401"/>
    <w:rsid w:val="0017060C"/>
    <w:rsid w:val="00170FD9"/>
    <w:rsid w:val="00172102"/>
    <w:rsid w:val="001722E6"/>
    <w:rsid w:val="00172BF0"/>
    <w:rsid w:val="00173623"/>
    <w:rsid w:val="00173870"/>
    <w:rsid w:val="00173EC5"/>
    <w:rsid w:val="00174388"/>
    <w:rsid w:val="00174C82"/>
    <w:rsid w:val="00174EEE"/>
    <w:rsid w:val="00175814"/>
    <w:rsid w:val="00175C81"/>
    <w:rsid w:val="0017786C"/>
    <w:rsid w:val="00177934"/>
    <w:rsid w:val="0018185B"/>
    <w:rsid w:val="001821F6"/>
    <w:rsid w:val="0018257C"/>
    <w:rsid w:val="00182B87"/>
    <w:rsid w:val="00183408"/>
    <w:rsid w:val="001834DE"/>
    <w:rsid w:val="00183579"/>
    <w:rsid w:val="001837C8"/>
    <w:rsid w:val="001838D6"/>
    <w:rsid w:val="00185431"/>
    <w:rsid w:val="00185EA5"/>
    <w:rsid w:val="0018615A"/>
    <w:rsid w:val="00186295"/>
    <w:rsid w:val="001864DD"/>
    <w:rsid w:val="00187D50"/>
    <w:rsid w:val="00187E87"/>
    <w:rsid w:val="001909EC"/>
    <w:rsid w:val="00193F9D"/>
    <w:rsid w:val="00194219"/>
    <w:rsid w:val="00194B97"/>
    <w:rsid w:val="001963CD"/>
    <w:rsid w:val="00196B1B"/>
    <w:rsid w:val="00197620"/>
    <w:rsid w:val="00197FAD"/>
    <w:rsid w:val="001A0074"/>
    <w:rsid w:val="001A0977"/>
    <w:rsid w:val="001A1704"/>
    <w:rsid w:val="001A278B"/>
    <w:rsid w:val="001A2B56"/>
    <w:rsid w:val="001A3566"/>
    <w:rsid w:val="001A3EF1"/>
    <w:rsid w:val="001A4520"/>
    <w:rsid w:val="001A49C2"/>
    <w:rsid w:val="001A5E18"/>
    <w:rsid w:val="001A6663"/>
    <w:rsid w:val="001A750E"/>
    <w:rsid w:val="001A75A3"/>
    <w:rsid w:val="001A7BFE"/>
    <w:rsid w:val="001B020C"/>
    <w:rsid w:val="001B02CF"/>
    <w:rsid w:val="001B07B6"/>
    <w:rsid w:val="001B0807"/>
    <w:rsid w:val="001B0E4C"/>
    <w:rsid w:val="001B16F3"/>
    <w:rsid w:val="001B25E0"/>
    <w:rsid w:val="001B2CF6"/>
    <w:rsid w:val="001B351E"/>
    <w:rsid w:val="001B36EE"/>
    <w:rsid w:val="001B3FEB"/>
    <w:rsid w:val="001B44F9"/>
    <w:rsid w:val="001B4F20"/>
    <w:rsid w:val="001B7180"/>
    <w:rsid w:val="001B72D8"/>
    <w:rsid w:val="001C09BD"/>
    <w:rsid w:val="001C1F84"/>
    <w:rsid w:val="001C20E7"/>
    <w:rsid w:val="001C3EDC"/>
    <w:rsid w:val="001C3F2C"/>
    <w:rsid w:val="001C41EA"/>
    <w:rsid w:val="001C576E"/>
    <w:rsid w:val="001C6108"/>
    <w:rsid w:val="001C62ED"/>
    <w:rsid w:val="001C6F6A"/>
    <w:rsid w:val="001C72B8"/>
    <w:rsid w:val="001C73B5"/>
    <w:rsid w:val="001C7C14"/>
    <w:rsid w:val="001D0765"/>
    <w:rsid w:val="001D092B"/>
    <w:rsid w:val="001D0B2A"/>
    <w:rsid w:val="001D0B44"/>
    <w:rsid w:val="001D1AA6"/>
    <w:rsid w:val="001D1C2C"/>
    <w:rsid w:val="001D286D"/>
    <w:rsid w:val="001D2A76"/>
    <w:rsid w:val="001D2D1E"/>
    <w:rsid w:val="001D3166"/>
    <w:rsid w:val="001D4537"/>
    <w:rsid w:val="001D494D"/>
    <w:rsid w:val="001D4B6B"/>
    <w:rsid w:val="001D60FE"/>
    <w:rsid w:val="001D62E3"/>
    <w:rsid w:val="001D6A79"/>
    <w:rsid w:val="001D70B9"/>
    <w:rsid w:val="001D7C37"/>
    <w:rsid w:val="001E02A1"/>
    <w:rsid w:val="001E0407"/>
    <w:rsid w:val="001E08BA"/>
    <w:rsid w:val="001E0CE1"/>
    <w:rsid w:val="001E297D"/>
    <w:rsid w:val="001E32A0"/>
    <w:rsid w:val="001E3678"/>
    <w:rsid w:val="001E3855"/>
    <w:rsid w:val="001E4175"/>
    <w:rsid w:val="001E471E"/>
    <w:rsid w:val="001E5012"/>
    <w:rsid w:val="001E507D"/>
    <w:rsid w:val="001E5C50"/>
    <w:rsid w:val="001E5E37"/>
    <w:rsid w:val="001E603D"/>
    <w:rsid w:val="001E6724"/>
    <w:rsid w:val="001E6C5D"/>
    <w:rsid w:val="001E74BD"/>
    <w:rsid w:val="001F028E"/>
    <w:rsid w:val="001F0AF4"/>
    <w:rsid w:val="001F163D"/>
    <w:rsid w:val="001F1EC1"/>
    <w:rsid w:val="001F243D"/>
    <w:rsid w:val="001F2480"/>
    <w:rsid w:val="001F2DDF"/>
    <w:rsid w:val="001F3215"/>
    <w:rsid w:val="001F3F1F"/>
    <w:rsid w:val="001F4069"/>
    <w:rsid w:val="001F474F"/>
    <w:rsid w:val="001F47DC"/>
    <w:rsid w:val="001F4990"/>
    <w:rsid w:val="001F4A2A"/>
    <w:rsid w:val="001F4C4C"/>
    <w:rsid w:val="001F4EFA"/>
    <w:rsid w:val="001F6675"/>
    <w:rsid w:val="001F738A"/>
    <w:rsid w:val="001F78A1"/>
    <w:rsid w:val="00200ABA"/>
    <w:rsid w:val="00200E38"/>
    <w:rsid w:val="002013EB"/>
    <w:rsid w:val="00202349"/>
    <w:rsid w:val="002024BF"/>
    <w:rsid w:val="00202C57"/>
    <w:rsid w:val="0020319C"/>
    <w:rsid w:val="002032CA"/>
    <w:rsid w:val="00203D8F"/>
    <w:rsid w:val="00203F6F"/>
    <w:rsid w:val="00204453"/>
    <w:rsid w:val="002049B2"/>
    <w:rsid w:val="002056B1"/>
    <w:rsid w:val="00205A59"/>
    <w:rsid w:val="00205BD0"/>
    <w:rsid w:val="00206C82"/>
    <w:rsid w:val="00207026"/>
    <w:rsid w:val="00207C2C"/>
    <w:rsid w:val="00207CF5"/>
    <w:rsid w:val="00210530"/>
    <w:rsid w:val="0021097F"/>
    <w:rsid w:val="00212A48"/>
    <w:rsid w:val="002130FB"/>
    <w:rsid w:val="002134AE"/>
    <w:rsid w:val="0021393A"/>
    <w:rsid w:val="002146DC"/>
    <w:rsid w:val="002152A2"/>
    <w:rsid w:val="00215536"/>
    <w:rsid w:val="00215E3B"/>
    <w:rsid w:val="002160E0"/>
    <w:rsid w:val="00216B4F"/>
    <w:rsid w:val="00216BE3"/>
    <w:rsid w:val="00216CAA"/>
    <w:rsid w:val="0021725E"/>
    <w:rsid w:val="00217724"/>
    <w:rsid w:val="002203AF"/>
    <w:rsid w:val="00220B38"/>
    <w:rsid w:val="0022184B"/>
    <w:rsid w:val="002218A9"/>
    <w:rsid w:val="00221BE9"/>
    <w:rsid w:val="00221CBE"/>
    <w:rsid w:val="00222B23"/>
    <w:rsid w:val="002239BA"/>
    <w:rsid w:val="002257C7"/>
    <w:rsid w:val="00225972"/>
    <w:rsid w:val="002263B6"/>
    <w:rsid w:val="002267F9"/>
    <w:rsid w:val="002270F9"/>
    <w:rsid w:val="00227978"/>
    <w:rsid w:val="00227E01"/>
    <w:rsid w:val="002315DB"/>
    <w:rsid w:val="002322BE"/>
    <w:rsid w:val="00233069"/>
    <w:rsid w:val="00233A1A"/>
    <w:rsid w:val="00233AE3"/>
    <w:rsid w:val="00233FBB"/>
    <w:rsid w:val="0023408A"/>
    <w:rsid w:val="0023411D"/>
    <w:rsid w:val="002346B6"/>
    <w:rsid w:val="0023539C"/>
    <w:rsid w:val="00235556"/>
    <w:rsid w:val="002355EB"/>
    <w:rsid w:val="00235B48"/>
    <w:rsid w:val="00235DB5"/>
    <w:rsid w:val="00236AEC"/>
    <w:rsid w:val="00237299"/>
    <w:rsid w:val="00237725"/>
    <w:rsid w:val="00237F2E"/>
    <w:rsid w:val="0024012F"/>
    <w:rsid w:val="0024052C"/>
    <w:rsid w:val="00241D62"/>
    <w:rsid w:val="00241DE3"/>
    <w:rsid w:val="00241F8F"/>
    <w:rsid w:val="00241FA0"/>
    <w:rsid w:val="00242A7E"/>
    <w:rsid w:val="002435BF"/>
    <w:rsid w:val="00243D3D"/>
    <w:rsid w:val="002449E9"/>
    <w:rsid w:val="00244A42"/>
    <w:rsid w:val="00244E5E"/>
    <w:rsid w:val="00245C71"/>
    <w:rsid w:val="0024659B"/>
    <w:rsid w:val="0024684E"/>
    <w:rsid w:val="00246929"/>
    <w:rsid w:val="002473EB"/>
    <w:rsid w:val="0025012C"/>
    <w:rsid w:val="00250244"/>
    <w:rsid w:val="002502BF"/>
    <w:rsid w:val="00250620"/>
    <w:rsid w:val="00250B1B"/>
    <w:rsid w:val="00250C9F"/>
    <w:rsid w:val="0025267B"/>
    <w:rsid w:val="00252BD0"/>
    <w:rsid w:val="00253062"/>
    <w:rsid w:val="002544D2"/>
    <w:rsid w:val="00254A27"/>
    <w:rsid w:val="00254C71"/>
    <w:rsid w:val="00254CA5"/>
    <w:rsid w:val="00254F58"/>
    <w:rsid w:val="00255553"/>
    <w:rsid w:val="00255BFC"/>
    <w:rsid w:val="00256320"/>
    <w:rsid w:val="00256F64"/>
    <w:rsid w:val="002575AB"/>
    <w:rsid w:val="002579E3"/>
    <w:rsid w:val="00257DDF"/>
    <w:rsid w:val="00257E7E"/>
    <w:rsid w:val="00260768"/>
    <w:rsid w:val="002609A0"/>
    <w:rsid w:val="00261F60"/>
    <w:rsid w:val="00262609"/>
    <w:rsid w:val="002634DC"/>
    <w:rsid w:val="00264230"/>
    <w:rsid w:val="002647B9"/>
    <w:rsid w:val="00264BC1"/>
    <w:rsid w:val="00264F54"/>
    <w:rsid w:val="00265200"/>
    <w:rsid w:val="00265292"/>
    <w:rsid w:val="00266425"/>
    <w:rsid w:val="00266EE8"/>
    <w:rsid w:val="00270341"/>
    <w:rsid w:val="00270CD4"/>
    <w:rsid w:val="00271353"/>
    <w:rsid w:val="00271A25"/>
    <w:rsid w:val="002728D2"/>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2745"/>
    <w:rsid w:val="002831FC"/>
    <w:rsid w:val="002845AC"/>
    <w:rsid w:val="00285240"/>
    <w:rsid w:val="00285310"/>
    <w:rsid w:val="002859DB"/>
    <w:rsid w:val="002866CF"/>
    <w:rsid w:val="00286D81"/>
    <w:rsid w:val="00286F48"/>
    <w:rsid w:val="00287117"/>
    <w:rsid w:val="0028720C"/>
    <w:rsid w:val="00287717"/>
    <w:rsid w:val="002879FE"/>
    <w:rsid w:val="00287CDE"/>
    <w:rsid w:val="00287E09"/>
    <w:rsid w:val="002904AF"/>
    <w:rsid w:val="00290ED0"/>
    <w:rsid w:val="00290FB8"/>
    <w:rsid w:val="00291105"/>
    <w:rsid w:val="002913D7"/>
    <w:rsid w:val="002949FD"/>
    <w:rsid w:val="00295872"/>
    <w:rsid w:val="00296780"/>
    <w:rsid w:val="002967A3"/>
    <w:rsid w:val="002967C1"/>
    <w:rsid w:val="002968DA"/>
    <w:rsid w:val="00296E76"/>
    <w:rsid w:val="00297098"/>
    <w:rsid w:val="0029712D"/>
    <w:rsid w:val="002A002F"/>
    <w:rsid w:val="002A1186"/>
    <w:rsid w:val="002A1447"/>
    <w:rsid w:val="002A1B9F"/>
    <w:rsid w:val="002A22DE"/>
    <w:rsid w:val="002A23FB"/>
    <w:rsid w:val="002A35C6"/>
    <w:rsid w:val="002A395F"/>
    <w:rsid w:val="002A42D2"/>
    <w:rsid w:val="002A4C21"/>
    <w:rsid w:val="002A54B4"/>
    <w:rsid w:val="002A5772"/>
    <w:rsid w:val="002A586E"/>
    <w:rsid w:val="002A5B13"/>
    <w:rsid w:val="002A5D61"/>
    <w:rsid w:val="002A642D"/>
    <w:rsid w:val="002A67A9"/>
    <w:rsid w:val="002A6AAB"/>
    <w:rsid w:val="002A7AEF"/>
    <w:rsid w:val="002B0330"/>
    <w:rsid w:val="002B123C"/>
    <w:rsid w:val="002B16EF"/>
    <w:rsid w:val="002B1962"/>
    <w:rsid w:val="002B207D"/>
    <w:rsid w:val="002B258A"/>
    <w:rsid w:val="002B2E32"/>
    <w:rsid w:val="002B345F"/>
    <w:rsid w:val="002B3472"/>
    <w:rsid w:val="002B3B0F"/>
    <w:rsid w:val="002B4B19"/>
    <w:rsid w:val="002B6211"/>
    <w:rsid w:val="002B66F3"/>
    <w:rsid w:val="002B686B"/>
    <w:rsid w:val="002B686C"/>
    <w:rsid w:val="002B6D85"/>
    <w:rsid w:val="002B7512"/>
    <w:rsid w:val="002B789A"/>
    <w:rsid w:val="002C0221"/>
    <w:rsid w:val="002C05D0"/>
    <w:rsid w:val="002C0961"/>
    <w:rsid w:val="002C1320"/>
    <w:rsid w:val="002C2D16"/>
    <w:rsid w:val="002C3137"/>
    <w:rsid w:val="002C3399"/>
    <w:rsid w:val="002C501C"/>
    <w:rsid w:val="002C7589"/>
    <w:rsid w:val="002C75B0"/>
    <w:rsid w:val="002D0BF6"/>
    <w:rsid w:val="002D32FC"/>
    <w:rsid w:val="002D3658"/>
    <w:rsid w:val="002D3937"/>
    <w:rsid w:val="002D3FC6"/>
    <w:rsid w:val="002D4C08"/>
    <w:rsid w:val="002D53AE"/>
    <w:rsid w:val="002D54E7"/>
    <w:rsid w:val="002D55B0"/>
    <w:rsid w:val="002D5AD5"/>
    <w:rsid w:val="002D5FB0"/>
    <w:rsid w:val="002D6760"/>
    <w:rsid w:val="002D6913"/>
    <w:rsid w:val="002D6A90"/>
    <w:rsid w:val="002D6B50"/>
    <w:rsid w:val="002D77A2"/>
    <w:rsid w:val="002D7FDC"/>
    <w:rsid w:val="002E028F"/>
    <w:rsid w:val="002E0892"/>
    <w:rsid w:val="002E14ED"/>
    <w:rsid w:val="002E1CFE"/>
    <w:rsid w:val="002E1F83"/>
    <w:rsid w:val="002E1F99"/>
    <w:rsid w:val="002E202B"/>
    <w:rsid w:val="002E3B8E"/>
    <w:rsid w:val="002E3F99"/>
    <w:rsid w:val="002E402E"/>
    <w:rsid w:val="002E4A1D"/>
    <w:rsid w:val="002E5454"/>
    <w:rsid w:val="002E6E58"/>
    <w:rsid w:val="002E6E74"/>
    <w:rsid w:val="002E7154"/>
    <w:rsid w:val="002E7A7D"/>
    <w:rsid w:val="002E7D37"/>
    <w:rsid w:val="002F06B0"/>
    <w:rsid w:val="002F0E74"/>
    <w:rsid w:val="002F1CDB"/>
    <w:rsid w:val="002F249A"/>
    <w:rsid w:val="002F275E"/>
    <w:rsid w:val="002F2CA4"/>
    <w:rsid w:val="002F3019"/>
    <w:rsid w:val="002F3A7B"/>
    <w:rsid w:val="002F3FF6"/>
    <w:rsid w:val="002F4FA0"/>
    <w:rsid w:val="002F6051"/>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808"/>
    <w:rsid w:val="00306B0E"/>
    <w:rsid w:val="00307930"/>
    <w:rsid w:val="00307E17"/>
    <w:rsid w:val="00307EFF"/>
    <w:rsid w:val="0031099E"/>
    <w:rsid w:val="003118A7"/>
    <w:rsid w:val="00311C18"/>
    <w:rsid w:val="00311D2B"/>
    <w:rsid w:val="0031258A"/>
    <w:rsid w:val="00312DB2"/>
    <w:rsid w:val="003134A1"/>
    <w:rsid w:val="00314C1B"/>
    <w:rsid w:val="00314DF5"/>
    <w:rsid w:val="0031516B"/>
    <w:rsid w:val="00315885"/>
    <w:rsid w:val="00315F59"/>
    <w:rsid w:val="00316B95"/>
    <w:rsid w:val="00317042"/>
    <w:rsid w:val="003172E9"/>
    <w:rsid w:val="00317C01"/>
    <w:rsid w:val="00317FC7"/>
    <w:rsid w:val="00320399"/>
    <w:rsid w:val="00320484"/>
    <w:rsid w:val="0032109E"/>
    <w:rsid w:val="00321349"/>
    <w:rsid w:val="00321577"/>
    <w:rsid w:val="00321AF0"/>
    <w:rsid w:val="00321B89"/>
    <w:rsid w:val="00321BDB"/>
    <w:rsid w:val="0032241C"/>
    <w:rsid w:val="00325D68"/>
    <w:rsid w:val="00325DEE"/>
    <w:rsid w:val="00326191"/>
    <w:rsid w:val="0032621C"/>
    <w:rsid w:val="003264A7"/>
    <w:rsid w:val="00330321"/>
    <w:rsid w:val="003308C7"/>
    <w:rsid w:val="00330FC1"/>
    <w:rsid w:val="00331A48"/>
    <w:rsid w:val="00331F3B"/>
    <w:rsid w:val="00332075"/>
    <w:rsid w:val="00332CEE"/>
    <w:rsid w:val="00332DA2"/>
    <w:rsid w:val="00333185"/>
    <w:rsid w:val="003334A3"/>
    <w:rsid w:val="00333B52"/>
    <w:rsid w:val="00333F02"/>
    <w:rsid w:val="00333FE2"/>
    <w:rsid w:val="00334D35"/>
    <w:rsid w:val="003356CE"/>
    <w:rsid w:val="003356F4"/>
    <w:rsid w:val="003357B2"/>
    <w:rsid w:val="00335B97"/>
    <w:rsid w:val="003362D5"/>
    <w:rsid w:val="003365BF"/>
    <w:rsid w:val="00336C28"/>
    <w:rsid w:val="00340F28"/>
    <w:rsid w:val="00341301"/>
    <w:rsid w:val="003413A5"/>
    <w:rsid w:val="00341EFD"/>
    <w:rsid w:val="0034201B"/>
    <w:rsid w:val="00342960"/>
    <w:rsid w:val="00342EBA"/>
    <w:rsid w:val="00343417"/>
    <w:rsid w:val="00343B6C"/>
    <w:rsid w:val="00343FD1"/>
    <w:rsid w:val="003445D3"/>
    <w:rsid w:val="00344F32"/>
    <w:rsid w:val="0034691B"/>
    <w:rsid w:val="00347016"/>
    <w:rsid w:val="003474F0"/>
    <w:rsid w:val="00347511"/>
    <w:rsid w:val="00347E88"/>
    <w:rsid w:val="003508DC"/>
    <w:rsid w:val="00350FCF"/>
    <w:rsid w:val="0035123C"/>
    <w:rsid w:val="003512B3"/>
    <w:rsid w:val="00351A83"/>
    <w:rsid w:val="003523CE"/>
    <w:rsid w:val="00353414"/>
    <w:rsid w:val="00353E4C"/>
    <w:rsid w:val="00354321"/>
    <w:rsid w:val="00354D09"/>
    <w:rsid w:val="00356011"/>
    <w:rsid w:val="003564EF"/>
    <w:rsid w:val="00356662"/>
    <w:rsid w:val="00360301"/>
    <w:rsid w:val="00360594"/>
    <w:rsid w:val="00362758"/>
    <w:rsid w:val="00362900"/>
    <w:rsid w:val="003631EE"/>
    <w:rsid w:val="003632D9"/>
    <w:rsid w:val="00363902"/>
    <w:rsid w:val="00363C45"/>
    <w:rsid w:val="003646C3"/>
    <w:rsid w:val="003653F7"/>
    <w:rsid w:val="00366E31"/>
    <w:rsid w:val="003670BB"/>
    <w:rsid w:val="003671E6"/>
    <w:rsid w:val="0036780D"/>
    <w:rsid w:val="003678F1"/>
    <w:rsid w:val="00367A65"/>
    <w:rsid w:val="003702A6"/>
    <w:rsid w:val="00370619"/>
    <w:rsid w:val="00370875"/>
    <w:rsid w:val="00371CE9"/>
    <w:rsid w:val="00372CE2"/>
    <w:rsid w:val="003730C8"/>
    <w:rsid w:val="003740AC"/>
    <w:rsid w:val="00374576"/>
    <w:rsid w:val="0037484F"/>
    <w:rsid w:val="00374D89"/>
    <w:rsid w:val="00376CFE"/>
    <w:rsid w:val="00376D5D"/>
    <w:rsid w:val="0037709A"/>
    <w:rsid w:val="00377A85"/>
    <w:rsid w:val="00380305"/>
    <w:rsid w:val="00380D4D"/>
    <w:rsid w:val="00380F55"/>
    <w:rsid w:val="00381207"/>
    <w:rsid w:val="003813F5"/>
    <w:rsid w:val="00381597"/>
    <w:rsid w:val="003817FE"/>
    <w:rsid w:val="00381981"/>
    <w:rsid w:val="00382174"/>
    <w:rsid w:val="003821A8"/>
    <w:rsid w:val="003830A7"/>
    <w:rsid w:val="00383A94"/>
    <w:rsid w:val="00383E03"/>
    <w:rsid w:val="003848B5"/>
    <w:rsid w:val="00385208"/>
    <w:rsid w:val="003855C0"/>
    <w:rsid w:val="0038794D"/>
    <w:rsid w:val="003904F0"/>
    <w:rsid w:val="00390FF4"/>
    <w:rsid w:val="00391FE2"/>
    <w:rsid w:val="003920F0"/>
    <w:rsid w:val="00392282"/>
    <w:rsid w:val="00392B93"/>
    <w:rsid w:val="00392D4F"/>
    <w:rsid w:val="003940E8"/>
    <w:rsid w:val="00394338"/>
    <w:rsid w:val="003946B6"/>
    <w:rsid w:val="00394959"/>
    <w:rsid w:val="00394E85"/>
    <w:rsid w:val="00395026"/>
    <w:rsid w:val="00395267"/>
    <w:rsid w:val="003952C4"/>
    <w:rsid w:val="00395CB2"/>
    <w:rsid w:val="00395D5F"/>
    <w:rsid w:val="00397761"/>
    <w:rsid w:val="0039784E"/>
    <w:rsid w:val="00397EB0"/>
    <w:rsid w:val="003A0DB6"/>
    <w:rsid w:val="003A14F6"/>
    <w:rsid w:val="003A16EB"/>
    <w:rsid w:val="003A2454"/>
    <w:rsid w:val="003A2455"/>
    <w:rsid w:val="003A33AB"/>
    <w:rsid w:val="003A35A1"/>
    <w:rsid w:val="003A4385"/>
    <w:rsid w:val="003A43D0"/>
    <w:rsid w:val="003A4DAD"/>
    <w:rsid w:val="003A4FDF"/>
    <w:rsid w:val="003A53F8"/>
    <w:rsid w:val="003A5BEF"/>
    <w:rsid w:val="003A6669"/>
    <w:rsid w:val="003A6A04"/>
    <w:rsid w:val="003B0416"/>
    <w:rsid w:val="003B0439"/>
    <w:rsid w:val="003B0869"/>
    <w:rsid w:val="003B0B23"/>
    <w:rsid w:val="003B0EBA"/>
    <w:rsid w:val="003B1144"/>
    <w:rsid w:val="003B14BC"/>
    <w:rsid w:val="003B1725"/>
    <w:rsid w:val="003B1CF2"/>
    <w:rsid w:val="003B2041"/>
    <w:rsid w:val="003B269A"/>
    <w:rsid w:val="003B28A7"/>
    <w:rsid w:val="003B335C"/>
    <w:rsid w:val="003B3EBC"/>
    <w:rsid w:val="003B4047"/>
    <w:rsid w:val="003B474A"/>
    <w:rsid w:val="003B4E10"/>
    <w:rsid w:val="003B4EA0"/>
    <w:rsid w:val="003B79DF"/>
    <w:rsid w:val="003B7A21"/>
    <w:rsid w:val="003C07AC"/>
    <w:rsid w:val="003C0B57"/>
    <w:rsid w:val="003C0D2E"/>
    <w:rsid w:val="003C0FE6"/>
    <w:rsid w:val="003C18C5"/>
    <w:rsid w:val="003C19B1"/>
    <w:rsid w:val="003C1FF6"/>
    <w:rsid w:val="003C3496"/>
    <w:rsid w:val="003C399B"/>
    <w:rsid w:val="003C3B94"/>
    <w:rsid w:val="003C4306"/>
    <w:rsid w:val="003C5306"/>
    <w:rsid w:val="003C57B8"/>
    <w:rsid w:val="003C62FE"/>
    <w:rsid w:val="003C65F4"/>
    <w:rsid w:val="003C74BC"/>
    <w:rsid w:val="003C75FF"/>
    <w:rsid w:val="003D0497"/>
    <w:rsid w:val="003D0969"/>
    <w:rsid w:val="003D0BC6"/>
    <w:rsid w:val="003D1789"/>
    <w:rsid w:val="003D1D81"/>
    <w:rsid w:val="003D31EB"/>
    <w:rsid w:val="003D3305"/>
    <w:rsid w:val="003D351C"/>
    <w:rsid w:val="003D36C4"/>
    <w:rsid w:val="003D396A"/>
    <w:rsid w:val="003D3DF4"/>
    <w:rsid w:val="003D4C2B"/>
    <w:rsid w:val="003D5599"/>
    <w:rsid w:val="003D6069"/>
    <w:rsid w:val="003D66C9"/>
    <w:rsid w:val="003D6F3A"/>
    <w:rsid w:val="003D733D"/>
    <w:rsid w:val="003D7974"/>
    <w:rsid w:val="003D7A21"/>
    <w:rsid w:val="003D7C6B"/>
    <w:rsid w:val="003D7D56"/>
    <w:rsid w:val="003E0987"/>
    <w:rsid w:val="003E0B06"/>
    <w:rsid w:val="003E1568"/>
    <w:rsid w:val="003E32A3"/>
    <w:rsid w:val="003E3526"/>
    <w:rsid w:val="003E44BF"/>
    <w:rsid w:val="003E74A6"/>
    <w:rsid w:val="003E7D23"/>
    <w:rsid w:val="003F01AA"/>
    <w:rsid w:val="003F047F"/>
    <w:rsid w:val="003F212A"/>
    <w:rsid w:val="003F2E53"/>
    <w:rsid w:val="003F2F03"/>
    <w:rsid w:val="003F46A0"/>
    <w:rsid w:val="003F4EE4"/>
    <w:rsid w:val="003F5377"/>
    <w:rsid w:val="003F56B8"/>
    <w:rsid w:val="003F5829"/>
    <w:rsid w:val="003F5C70"/>
    <w:rsid w:val="003F6A8B"/>
    <w:rsid w:val="003F6BD4"/>
    <w:rsid w:val="003F7175"/>
    <w:rsid w:val="004002E5"/>
    <w:rsid w:val="004005AF"/>
    <w:rsid w:val="004012C0"/>
    <w:rsid w:val="004018BA"/>
    <w:rsid w:val="00401ECD"/>
    <w:rsid w:val="0040275F"/>
    <w:rsid w:val="004029C9"/>
    <w:rsid w:val="00403CA8"/>
    <w:rsid w:val="00404B6F"/>
    <w:rsid w:val="00404EAA"/>
    <w:rsid w:val="00405189"/>
    <w:rsid w:val="0040530F"/>
    <w:rsid w:val="004053A6"/>
    <w:rsid w:val="004059E0"/>
    <w:rsid w:val="00405BA5"/>
    <w:rsid w:val="004063C0"/>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2587"/>
    <w:rsid w:val="00422841"/>
    <w:rsid w:val="00423F9A"/>
    <w:rsid w:val="00424EF7"/>
    <w:rsid w:val="00425912"/>
    <w:rsid w:val="004259E7"/>
    <w:rsid w:val="00426581"/>
    <w:rsid w:val="00426727"/>
    <w:rsid w:val="00426C5D"/>
    <w:rsid w:val="00427FFA"/>
    <w:rsid w:val="00430979"/>
    <w:rsid w:val="00430C94"/>
    <w:rsid w:val="00431263"/>
    <w:rsid w:val="00431BC8"/>
    <w:rsid w:val="00431EB4"/>
    <w:rsid w:val="00432379"/>
    <w:rsid w:val="004329C5"/>
    <w:rsid w:val="0043353B"/>
    <w:rsid w:val="00433B97"/>
    <w:rsid w:val="0043417B"/>
    <w:rsid w:val="00434589"/>
    <w:rsid w:val="0043464F"/>
    <w:rsid w:val="00434703"/>
    <w:rsid w:val="00434B26"/>
    <w:rsid w:val="0043598B"/>
    <w:rsid w:val="00435C45"/>
    <w:rsid w:val="00435E69"/>
    <w:rsid w:val="0043646E"/>
    <w:rsid w:val="004364AB"/>
    <w:rsid w:val="0043674F"/>
    <w:rsid w:val="00436FA3"/>
    <w:rsid w:val="00437184"/>
    <w:rsid w:val="00440A6E"/>
    <w:rsid w:val="00440E18"/>
    <w:rsid w:val="00441BD4"/>
    <w:rsid w:val="00442B9A"/>
    <w:rsid w:val="00442FE2"/>
    <w:rsid w:val="00443BC2"/>
    <w:rsid w:val="00443EC1"/>
    <w:rsid w:val="00444B01"/>
    <w:rsid w:val="00444DB0"/>
    <w:rsid w:val="00445133"/>
    <w:rsid w:val="004456F3"/>
    <w:rsid w:val="004457FD"/>
    <w:rsid w:val="00445E4F"/>
    <w:rsid w:val="00445F70"/>
    <w:rsid w:val="004461C6"/>
    <w:rsid w:val="004477F1"/>
    <w:rsid w:val="00447F7F"/>
    <w:rsid w:val="0045030D"/>
    <w:rsid w:val="0045078D"/>
    <w:rsid w:val="00450ABA"/>
    <w:rsid w:val="00450BEA"/>
    <w:rsid w:val="00450EF0"/>
    <w:rsid w:val="004510A0"/>
    <w:rsid w:val="0045158F"/>
    <w:rsid w:val="00451C0A"/>
    <w:rsid w:val="00451E14"/>
    <w:rsid w:val="00452717"/>
    <w:rsid w:val="004528A4"/>
    <w:rsid w:val="0045292D"/>
    <w:rsid w:val="00452FB3"/>
    <w:rsid w:val="00453E24"/>
    <w:rsid w:val="00454A0B"/>
    <w:rsid w:val="004550EB"/>
    <w:rsid w:val="00455FE1"/>
    <w:rsid w:val="00456898"/>
    <w:rsid w:val="004569A5"/>
    <w:rsid w:val="004569FA"/>
    <w:rsid w:val="00456BFF"/>
    <w:rsid w:val="00457230"/>
    <w:rsid w:val="004573F1"/>
    <w:rsid w:val="00457D2C"/>
    <w:rsid w:val="00457EA6"/>
    <w:rsid w:val="00460105"/>
    <w:rsid w:val="004605BC"/>
    <w:rsid w:val="00460BEB"/>
    <w:rsid w:val="0046182D"/>
    <w:rsid w:val="00461F02"/>
    <w:rsid w:val="00462263"/>
    <w:rsid w:val="00462987"/>
    <w:rsid w:val="00462C59"/>
    <w:rsid w:val="00462EB3"/>
    <w:rsid w:val="0046303D"/>
    <w:rsid w:val="00464F36"/>
    <w:rsid w:val="00465FC4"/>
    <w:rsid w:val="00466857"/>
    <w:rsid w:val="004676C1"/>
    <w:rsid w:val="00467A6B"/>
    <w:rsid w:val="00467BD3"/>
    <w:rsid w:val="00467C95"/>
    <w:rsid w:val="00467ED4"/>
    <w:rsid w:val="004704B0"/>
    <w:rsid w:val="00472072"/>
    <w:rsid w:val="0047224F"/>
    <w:rsid w:val="00472DC2"/>
    <w:rsid w:val="00472FC6"/>
    <w:rsid w:val="004731F2"/>
    <w:rsid w:val="00473DD3"/>
    <w:rsid w:val="00475C35"/>
    <w:rsid w:val="00476320"/>
    <w:rsid w:val="00476641"/>
    <w:rsid w:val="00476830"/>
    <w:rsid w:val="00476E3B"/>
    <w:rsid w:val="00476F7C"/>
    <w:rsid w:val="00477621"/>
    <w:rsid w:val="004809A6"/>
    <w:rsid w:val="00480C98"/>
    <w:rsid w:val="00481542"/>
    <w:rsid w:val="00482271"/>
    <w:rsid w:val="00482531"/>
    <w:rsid w:val="00482BC7"/>
    <w:rsid w:val="00482FCB"/>
    <w:rsid w:val="00483231"/>
    <w:rsid w:val="00483861"/>
    <w:rsid w:val="0048402F"/>
    <w:rsid w:val="00484821"/>
    <w:rsid w:val="00485134"/>
    <w:rsid w:val="00485818"/>
    <w:rsid w:val="00485BEC"/>
    <w:rsid w:val="00486DA0"/>
    <w:rsid w:val="00487199"/>
    <w:rsid w:val="00487335"/>
    <w:rsid w:val="00491AB9"/>
    <w:rsid w:val="00491D0A"/>
    <w:rsid w:val="00491F63"/>
    <w:rsid w:val="004922CC"/>
    <w:rsid w:val="004925A1"/>
    <w:rsid w:val="0049292B"/>
    <w:rsid w:val="0049360D"/>
    <w:rsid w:val="0049363D"/>
    <w:rsid w:val="004947AF"/>
    <w:rsid w:val="004947FD"/>
    <w:rsid w:val="004949B3"/>
    <w:rsid w:val="00494A45"/>
    <w:rsid w:val="00494CDE"/>
    <w:rsid w:val="00494F85"/>
    <w:rsid w:val="00495285"/>
    <w:rsid w:val="00495DD9"/>
    <w:rsid w:val="00495E4F"/>
    <w:rsid w:val="0049639F"/>
    <w:rsid w:val="004973ED"/>
    <w:rsid w:val="00497AED"/>
    <w:rsid w:val="00497B7B"/>
    <w:rsid w:val="00497F36"/>
    <w:rsid w:val="004A082E"/>
    <w:rsid w:val="004A17FE"/>
    <w:rsid w:val="004A30FA"/>
    <w:rsid w:val="004A3858"/>
    <w:rsid w:val="004A3FA6"/>
    <w:rsid w:val="004A4169"/>
    <w:rsid w:val="004A5078"/>
    <w:rsid w:val="004A5441"/>
    <w:rsid w:val="004A561E"/>
    <w:rsid w:val="004A6CAA"/>
    <w:rsid w:val="004A6CF5"/>
    <w:rsid w:val="004A6F71"/>
    <w:rsid w:val="004B0E85"/>
    <w:rsid w:val="004B1425"/>
    <w:rsid w:val="004B169F"/>
    <w:rsid w:val="004B18D7"/>
    <w:rsid w:val="004B1F8C"/>
    <w:rsid w:val="004B2D48"/>
    <w:rsid w:val="004B372F"/>
    <w:rsid w:val="004B3A06"/>
    <w:rsid w:val="004B4212"/>
    <w:rsid w:val="004B4BEE"/>
    <w:rsid w:val="004B53BA"/>
    <w:rsid w:val="004B61B8"/>
    <w:rsid w:val="004B6DAB"/>
    <w:rsid w:val="004B7539"/>
    <w:rsid w:val="004C13CC"/>
    <w:rsid w:val="004C15BB"/>
    <w:rsid w:val="004C1D2D"/>
    <w:rsid w:val="004C1D7D"/>
    <w:rsid w:val="004C3350"/>
    <w:rsid w:val="004C49FB"/>
    <w:rsid w:val="004C4C2F"/>
    <w:rsid w:val="004C523B"/>
    <w:rsid w:val="004C68E3"/>
    <w:rsid w:val="004C7334"/>
    <w:rsid w:val="004C7377"/>
    <w:rsid w:val="004C79A0"/>
    <w:rsid w:val="004C7DC6"/>
    <w:rsid w:val="004D0A34"/>
    <w:rsid w:val="004D0ACF"/>
    <w:rsid w:val="004D0C9C"/>
    <w:rsid w:val="004D0DFC"/>
    <w:rsid w:val="004D0EF2"/>
    <w:rsid w:val="004D0F25"/>
    <w:rsid w:val="004D140E"/>
    <w:rsid w:val="004D238A"/>
    <w:rsid w:val="004D39BA"/>
    <w:rsid w:val="004D3CEB"/>
    <w:rsid w:val="004D4312"/>
    <w:rsid w:val="004D4DBB"/>
    <w:rsid w:val="004D50F2"/>
    <w:rsid w:val="004D59DE"/>
    <w:rsid w:val="004D5DFB"/>
    <w:rsid w:val="004D5FAD"/>
    <w:rsid w:val="004D6553"/>
    <w:rsid w:val="004D6E40"/>
    <w:rsid w:val="004D6ED7"/>
    <w:rsid w:val="004D72C1"/>
    <w:rsid w:val="004D7FD5"/>
    <w:rsid w:val="004E0FBE"/>
    <w:rsid w:val="004E17CD"/>
    <w:rsid w:val="004E2588"/>
    <w:rsid w:val="004E3344"/>
    <w:rsid w:val="004E3E63"/>
    <w:rsid w:val="004E4800"/>
    <w:rsid w:val="004E53FA"/>
    <w:rsid w:val="004E58E9"/>
    <w:rsid w:val="004E6A78"/>
    <w:rsid w:val="004E6F4C"/>
    <w:rsid w:val="004E725A"/>
    <w:rsid w:val="004F034D"/>
    <w:rsid w:val="004F0457"/>
    <w:rsid w:val="004F0AEC"/>
    <w:rsid w:val="004F0CEC"/>
    <w:rsid w:val="004F0E58"/>
    <w:rsid w:val="004F1A5C"/>
    <w:rsid w:val="004F2172"/>
    <w:rsid w:val="004F217B"/>
    <w:rsid w:val="004F2381"/>
    <w:rsid w:val="004F25AA"/>
    <w:rsid w:val="004F36CE"/>
    <w:rsid w:val="004F3C6D"/>
    <w:rsid w:val="004F4126"/>
    <w:rsid w:val="004F4232"/>
    <w:rsid w:val="004F5952"/>
    <w:rsid w:val="004F681E"/>
    <w:rsid w:val="004F7448"/>
    <w:rsid w:val="004F74CF"/>
    <w:rsid w:val="004F774C"/>
    <w:rsid w:val="004F790E"/>
    <w:rsid w:val="00500540"/>
    <w:rsid w:val="00500791"/>
    <w:rsid w:val="00500A4B"/>
    <w:rsid w:val="0050152D"/>
    <w:rsid w:val="00501CBA"/>
    <w:rsid w:val="00501EF2"/>
    <w:rsid w:val="0050263B"/>
    <w:rsid w:val="00502BC6"/>
    <w:rsid w:val="00502E27"/>
    <w:rsid w:val="00503FB5"/>
    <w:rsid w:val="0050453C"/>
    <w:rsid w:val="00504547"/>
    <w:rsid w:val="00505C7B"/>
    <w:rsid w:val="00506357"/>
    <w:rsid w:val="0050772B"/>
    <w:rsid w:val="00507D7B"/>
    <w:rsid w:val="00510119"/>
    <w:rsid w:val="005102A4"/>
    <w:rsid w:val="0051055C"/>
    <w:rsid w:val="00512D78"/>
    <w:rsid w:val="00512DE3"/>
    <w:rsid w:val="00512E95"/>
    <w:rsid w:val="005133C6"/>
    <w:rsid w:val="00514288"/>
    <w:rsid w:val="0051452A"/>
    <w:rsid w:val="005149F7"/>
    <w:rsid w:val="00514A8B"/>
    <w:rsid w:val="00515CD7"/>
    <w:rsid w:val="00515EF4"/>
    <w:rsid w:val="00516278"/>
    <w:rsid w:val="00516AB3"/>
    <w:rsid w:val="00516AB4"/>
    <w:rsid w:val="00517CFE"/>
    <w:rsid w:val="0052042C"/>
    <w:rsid w:val="00520EB1"/>
    <w:rsid w:val="00521B46"/>
    <w:rsid w:val="00521CBF"/>
    <w:rsid w:val="00521F6D"/>
    <w:rsid w:val="005222DD"/>
    <w:rsid w:val="005223E9"/>
    <w:rsid w:val="00524303"/>
    <w:rsid w:val="005247C1"/>
    <w:rsid w:val="00525936"/>
    <w:rsid w:val="00526667"/>
    <w:rsid w:val="0052716F"/>
    <w:rsid w:val="005273EB"/>
    <w:rsid w:val="00527A60"/>
    <w:rsid w:val="00527DC0"/>
    <w:rsid w:val="00530493"/>
    <w:rsid w:val="0053069E"/>
    <w:rsid w:val="00530D1A"/>
    <w:rsid w:val="005310A7"/>
    <w:rsid w:val="00532226"/>
    <w:rsid w:val="005326DD"/>
    <w:rsid w:val="005328B4"/>
    <w:rsid w:val="00532997"/>
    <w:rsid w:val="00532FF2"/>
    <w:rsid w:val="00533233"/>
    <w:rsid w:val="00533DD5"/>
    <w:rsid w:val="0053420D"/>
    <w:rsid w:val="00534AEA"/>
    <w:rsid w:val="00535078"/>
    <w:rsid w:val="00535A01"/>
    <w:rsid w:val="00535BAB"/>
    <w:rsid w:val="00535D57"/>
    <w:rsid w:val="0053721F"/>
    <w:rsid w:val="0053726B"/>
    <w:rsid w:val="00540043"/>
    <w:rsid w:val="005403A3"/>
    <w:rsid w:val="00540635"/>
    <w:rsid w:val="00540AF6"/>
    <w:rsid w:val="00541075"/>
    <w:rsid w:val="005411BD"/>
    <w:rsid w:val="005414D7"/>
    <w:rsid w:val="00541963"/>
    <w:rsid w:val="00541C3A"/>
    <w:rsid w:val="005422AA"/>
    <w:rsid w:val="0054282A"/>
    <w:rsid w:val="0054317D"/>
    <w:rsid w:val="0054334B"/>
    <w:rsid w:val="00543682"/>
    <w:rsid w:val="00543ACC"/>
    <w:rsid w:val="00543CDB"/>
    <w:rsid w:val="00544156"/>
    <w:rsid w:val="005442A2"/>
    <w:rsid w:val="00544597"/>
    <w:rsid w:val="00544654"/>
    <w:rsid w:val="00544A38"/>
    <w:rsid w:val="00544D9F"/>
    <w:rsid w:val="0054505A"/>
    <w:rsid w:val="00545073"/>
    <w:rsid w:val="00545638"/>
    <w:rsid w:val="00545821"/>
    <w:rsid w:val="00545D0C"/>
    <w:rsid w:val="005469CB"/>
    <w:rsid w:val="00546BF2"/>
    <w:rsid w:val="005470A9"/>
    <w:rsid w:val="0054734D"/>
    <w:rsid w:val="00547B5F"/>
    <w:rsid w:val="00547CB7"/>
    <w:rsid w:val="00547ECC"/>
    <w:rsid w:val="00550011"/>
    <w:rsid w:val="005505A7"/>
    <w:rsid w:val="00550B50"/>
    <w:rsid w:val="00551AC5"/>
    <w:rsid w:val="00551AEB"/>
    <w:rsid w:val="00551F10"/>
    <w:rsid w:val="005520F0"/>
    <w:rsid w:val="00552F1B"/>
    <w:rsid w:val="00552F9A"/>
    <w:rsid w:val="005533FF"/>
    <w:rsid w:val="00553404"/>
    <w:rsid w:val="005535A4"/>
    <w:rsid w:val="00553757"/>
    <w:rsid w:val="0055487E"/>
    <w:rsid w:val="00554F41"/>
    <w:rsid w:val="00554F9B"/>
    <w:rsid w:val="0055507F"/>
    <w:rsid w:val="00555965"/>
    <w:rsid w:val="00555EB8"/>
    <w:rsid w:val="0056125C"/>
    <w:rsid w:val="00561361"/>
    <w:rsid w:val="00561387"/>
    <w:rsid w:val="00561759"/>
    <w:rsid w:val="005618C8"/>
    <w:rsid w:val="005619BB"/>
    <w:rsid w:val="00561F63"/>
    <w:rsid w:val="00562747"/>
    <w:rsid w:val="00562EF3"/>
    <w:rsid w:val="00563C5A"/>
    <w:rsid w:val="005642C9"/>
    <w:rsid w:val="00564419"/>
    <w:rsid w:val="00564502"/>
    <w:rsid w:val="00564697"/>
    <w:rsid w:val="005647D5"/>
    <w:rsid w:val="00564BC9"/>
    <w:rsid w:val="00564C66"/>
    <w:rsid w:val="00565D14"/>
    <w:rsid w:val="00567AAC"/>
    <w:rsid w:val="00567D13"/>
    <w:rsid w:val="00570A23"/>
    <w:rsid w:val="00571855"/>
    <w:rsid w:val="00571E1D"/>
    <w:rsid w:val="00572290"/>
    <w:rsid w:val="00572ADB"/>
    <w:rsid w:val="00573E54"/>
    <w:rsid w:val="005741AA"/>
    <w:rsid w:val="005742DB"/>
    <w:rsid w:val="00574A83"/>
    <w:rsid w:val="00574C89"/>
    <w:rsid w:val="00574F69"/>
    <w:rsid w:val="00575105"/>
    <w:rsid w:val="0057545C"/>
    <w:rsid w:val="00575833"/>
    <w:rsid w:val="00576357"/>
    <w:rsid w:val="00576763"/>
    <w:rsid w:val="00576F3A"/>
    <w:rsid w:val="00577174"/>
    <w:rsid w:val="00577A42"/>
    <w:rsid w:val="00577E49"/>
    <w:rsid w:val="005801B7"/>
    <w:rsid w:val="00581323"/>
    <w:rsid w:val="005814E2"/>
    <w:rsid w:val="00582694"/>
    <w:rsid w:val="00583304"/>
    <w:rsid w:val="00583D89"/>
    <w:rsid w:val="00583F72"/>
    <w:rsid w:val="00584073"/>
    <w:rsid w:val="0058430D"/>
    <w:rsid w:val="00584AA2"/>
    <w:rsid w:val="005851AA"/>
    <w:rsid w:val="0058568A"/>
    <w:rsid w:val="0058574B"/>
    <w:rsid w:val="005857A9"/>
    <w:rsid w:val="00585A48"/>
    <w:rsid w:val="005861E6"/>
    <w:rsid w:val="005867EC"/>
    <w:rsid w:val="005868CF"/>
    <w:rsid w:val="00586E9A"/>
    <w:rsid w:val="00591147"/>
    <w:rsid w:val="0059163F"/>
    <w:rsid w:val="005923D3"/>
    <w:rsid w:val="00592582"/>
    <w:rsid w:val="00592D0C"/>
    <w:rsid w:val="00592E6E"/>
    <w:rsid w:val="00593CC9"/>
    <w:rsid w:val="00593E99"/>
    <w:rsid w:val="00594255"/>
    <w:rsid w:val="00594501"/>
    <w:rsid w:val="00595AF5"/>
    <w:rsid w:val="00595E65"/>
    <w:rsid w:val="0059664A"/>
    <w:rsid w:val="00596759"/>
    <w:rsid w:val="005968EB"/>
    <w:rsid w:val="0059704A"/>
    <w:rsid w:val="00597218"/>
    <w:rsid w:val="005975D4"/>
    <w:rsid w:val="00597E8D"/>
    <w:rsid w:val="005A0392"/>
    <w:rsid w:val="005A0966"/>
    <w:rsid w:val="005A0DDC"/>
    <w:rsid w:val="005A1265"/>
    <w:rsid w:val="005A2044"/>
    <w:rsid w:val="005A2188"/>
    <w:rsid w:val="005A2543"/>
    <w:rsid w:val="005A2599"/>
    <w:rsid w:val="005A483A"/>
    <w:rsid w:val="005A5401"/>
    <w:rsid w:val="005A5C9A"/>
    <w:rsid w:val="005A6402"/>
    <w:rsid w:val="005B1686"/>
    <w:rsid w:val="005B1F4D"/>
    <w:rsid w:val="005B272A"/>
    <w:rsid w:val="005B2831"/>
    <w:rsid w:val="005B28FA"/>
    <w:rsid w:val="005B41C8"/>
    <w:rsid w:val="005B501D"/>
    <w:rsid w:val="005B559A"/>
    <w:rsid w:val="005B595B"/>
    <w:rsid w:val="005B5A76"/>
    <w:rsid w:val="005B6F66"/>
    <w:rsid w:val="005B7359"/>
    <w:rsid w:val="005B7555"/>
    <w:rsid w:val="005C0605"/>
    <w:rsid w:val="005C061C"/>
    <w:rsid w:val="005C0FEC"/>
    <w:rsid w:val="005C2035"/>
    <w:rsid w:val="005C257C"/>
    <w:rsid w:val="005C299D"/>
    <w:rsid w:val="005C2B44"/>
    <w:rsid w:val="005C2F5C"/>
    <w:rsid w:val="005C40C4"/>
    <w:rsid w:val="005C59AF"/>
    <w:rsid w:val="005C5A28"/>
    <w:rsid w:val="005C600C"/>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3116"/>
    <w:rsid w:val="005D4367"/>
    <w:rsid w:val="005D4A94"/>
    <w:rsid w:val="005D4E1F"/>
    <w:rsid w:val="005D4FFC"/>
    <w:rsid w:val="005D544A"/>
    <w:rsid w:val="005D5CB5"/>
    <w:rsid w:val="005D5E14"/>
    <w:rsid w:val="005D6244"/>
    <w:rsid w:val="005D64BB"/>
    <w:rsid w:val="005D74CC"/>
    <w:rsid w:val="005D764F"/>
    <w:rsid w:val="005E0BE6"/>
    <w:rsid w:val="005E208E"/>
    <w:rsid w:val="005E22B4"/>
    <w:rsid w:val="005E2606"/>
    <w:rsid w:val="005E2D85"/>
    <w:rsid w:val="005E2EF6"/>
    <w:rsid w:val="005E3B8C"/>
    <w:rsid w:val="005E3CA9"/>
    <w:rsid w:val="005E5097"/>
    <w:rsid w:val="005E5A82"/>
    <w:rsid w:val="005E5DC2"/>
    <w:rsid w:val="005E69C9"/>
    <w:rsid w:val="005E7956"/>
    <w:rsid w:val="005E7AC5"/>
    <w:rsid w:val="005E7F3E"/>
    <w:rsid w:val="005F068D"/>
    <w:rsid w:val="005F0BFB"/>
    <w:rsid w:val="005F10A4"/>
    <w:rsid w:val="005F12BC"/>
    <w:rsid w:val="005F156B"/>
    <w:rsid w:val="005F17AF"/>
    <w:rsid w:val="005F2BBA"/>
    <w:rsid w:val="005F31BD"/>
    <w:rsid w:val="005F375E"/>
    <w:rsid w:val="005F3D49"/>
    <w:rsid w:val="005F3E99"/>
    <w:rsid w:val="005F42E7"/>
    <w:rsid w:val="005F4A05"/>
    <w:rsid w:val="005F6A67"/>
    <w:rsid w:val="005F7196"/>
    <w:rsid w:val="005F7C66"/>
    <w:rsid w:val="005F7CBA"/>
    <w:rsid w:val="00600926"/>
    <w:rsid w:val="00600A6D"/>
    <w:rsid w:val="00600D36"/>
    <w:rsid w:val="00601776"/>
    <w:rsid w:val="00601B1A"/>
    <w:rsid w:val="00601FFC"/>
    <w:rsid w:val="00604DCB"/>
    <w:rsid w:val="00604F22"/>
    <w:rsid w:val="0060587D"/>
    <w:rsid w:val="00605D7F"/>
    <w:rsid w:val="00605E40"/>
    <w:rsid w:val="00606577"/>
    <w:rsid w:val="006065E6"/>
    <w:rsid w:val="00606601"/>
    <w:rsid w:val="0060744A"/>
    <w:rsid w:val="00607C0F"/>
    <w:rsid w:val="00607F71"/>
    <w:rsid w:val="006100C4"/>
    <w:rsid w:val="00610C3F"/>
    <w:rsid w:val="006113F1"/>
    <w:rsid w:val="00611682"/>
    <w:rsid w:val="00611C99"/>
    <w:rsid w:val="00611E56"/>
    <w:rsid w:val="00612017"/>
    <w:rsid w:val="00612F4C"/>
    <w:rsid w:val="00614354"/>
    <w:rsid w:val="006146A3"/>
    <w:rsid w:val="0061507D"/>
    <w:rsid w:val="006155BD"/>
    <w:rsid w:val="006159AE"/>
    <w:rsid w:val="006161E0"/>
    <w:rsid w:val="006162B8"/>
    <w:rsid w:val="00616A42"/>
    <w:rsid w:val="00616E28"/>
    <w:rsid w:val="0061712A"/>
    <w:rsid w:val="00617627"/>
    <w:rsid w:val="00617ADC"/>
    <w:rsid w:val="006207CB"/>
    <w:rsid w:val="00620991"/>
    <w:rsid w:val="0062188D"/>
    <w:rsid w:val="00622080"/>
    <w:rsid w:val="00622949"/>
    <w:rsid w:val="00622C03"/>
    <w:rsid w:val="00622DF6"/>
    <w:rsid w:val="00623273"/>
    <w:rsid w:val="0062346A"/>
    <w:rsid w:val="00623706"/>
    <w:rsid w:val="00623F46"/>
    <w:rsid w:val="00624C98"/>
    <w:rsid w:val="00624D19"/>
    <w:rsid w:val="0062669E"/>
    <w:rsid w:val="00626814"/>
    <w:rsid w:val="00626C97"/>
    <w:rsid w:val="00626E15"/>
    <w:rsid w:val="00627168"/>
    <w:rsid w:val="00627F3F"/>
    <w:rsid w:val="006327D2"/>
    <w:rsid w:val="00633463"/>
    <w:rsid w:val="0063398B"/>
    <w:rsid w:val="00633CC2"/>
    <w:rsid w:val="006341AD"/>
    <w:rsid w:val="00634A1C"/>
    <w:rsid w:val="00634D93"/>
    <w:rsid w:val="00635199"/>
    <w:rsid w:val="006357D4"/>
    <w:rsid w:val="00635EBE"/>
    <w:rsid w:val="00636C5B"/>
    <w:rsid w:val="00637350"/>
    <w:rsid w:val="006379B5"/>
    <w:rsid w:val="00637D9A"/>
    <w:rsid w:val="006410DA"/>
    <w:rsid w:val="0064110C"/>
    <w:rsid w:val="0064152F"/>
    <w:rsid w:val="006415DD"/>
    <w:rsid w:val="0064209D"/>
    <w:rsid w:val="00642513"/>
    <w:rsid w:val="006434A0"/>
    <w:rsid w:val="00643935"/>
    <w:rsid w:val="00643E10"/>
    <w:rsid w:val="00644374"/>
    <w:rsid w:val="00644D75"/>
    <w:rsid w:val="00645B8F"/>
    <w:rsid w:val="00645F9A"/>
    <w:rsid w:val="00647998"/>
    <w:rsid w:val="006519F7"/>
    <w:rsid w:val="00651A42"/>
    <w:rsid w:val="00651B27"/>
    <w:rsid w:val="006524A3"/>
    <w:rsid w:val="00652E45"/>
    <w:rsid w:val="006536B2"/>
    <w:rsid w:val="00653E71"/>
    <w:rsid w:val="00654656"/>
    <w:rsid w:val="00655A3E"/>
    <w:rsid w:val="00656510"/>
    <w:rsid w:val="00656EFA"/>
    <w:rsid w:val="00657A3A"/>
    <w:rsid w:val="00660296"/>
    <w:rsid w:val="0066099B"/>
    <w:rsid w:val="00660ACF"/>
    <w:rsid w:val="00660E55"/>
    <w:rsid w:val="00661180"/>
    <w:rsid w:val="00661CA5"/>
    <w:rsid w:val="00662221"/>
    <w:rsid w:val="006627F9"/>
    <w:rsid w:val="00662BA4"/>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78"/>
    <w:rsid w:val="00673D8E"/>
    <w:rsid w:val="00673FC5"/>
    <w:rsid w:val="006756A7"/>
    <w:rsid w:val="00675BCC"/>
    <w:rsid w:val="00677274"/>
    <w:rsid w:val="0067783E"/>
    <w:rsid w:val="00677C94"/>
    <w:rsid w:val="00677E9A"/>
    <w:rsid w:val="00680018"/>
    <w:rsid w:val="00680432"/>
    <w:rsid w:val="00680926"/>
    <w:rsid w:val="00680B23"/>
    <w:rsid w:val="00680B4D"/>
    <w:rsid w:val="00680C65"/>
    <w:rsid w:val="00680E06"/>
    <w:rsid w:val="0068167B"/>
    <w:rsid w:val="0068278C"/>
    <w:rsid w:val="0068295D"/>
    <w:rsid w:val="00682D1C"/>
    <w:rsid w:val="0068311D"/>
    <w:rsid w:val="00683684"/>
    <w:rsid w:val="00684249"/>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78D"/>
    <w:rsid w:val="00693C11"/>
    <w:rsid w:val="00693F11"/>
    <w:rsid w:val="00694578"/>
    <w:rsid w:val="006946B0"/>
    <w:rsid w:val="00694D60"/>
    <w:rsid w:val="00695A61"/>
    <w:rsid w:val="00695CBF"/>
    <w:rsid w:val="00695EE9"/>
    <w:rsid w:val="00695F61"/>
    <w:rsid w:val="00696175"/>
    <w:rsid w:val="006967D7"/>
    <w:rsid w:val="006969DF"/>
    <w:rsid w:val="006A01E3"/>
    <w:rsid w:val="006A07C3"/>
    <w:rsid w:val="006A135B"/>
    <w:rsid w:val="006A15F0"/>
    <w:rsid w:val="006A16BA"/>
    <w:rsid w:val="006A17CA"/>
    <w:rsid w:val="006A1BCD"/>
    <w:rsid w:val="006A1FA3"/>
    <w:rsid w:val="006A2150"/>
    <w:rsid w:val="006A28BC"/>
    <w:rsid w:val="006A2AA6"/>
    <w:rsid w:val="006A3CC0"/>
    <w:rsid w:val="006A47EC"/>
    <w:rsid w:val="006A485A"/>
    <w:rsid w:val="006A4890"/>
    <w:rsid w:val="006A4959"/>
    <w:rsid w:val="006A4EAE"/>
    <w:rsid w:val="006A698E"/>
    <w:rsid w:val="006A6E45"/>
    <w:rsid w:val="006B151D"/>
    <w:rsid w:val="006B1986"/>
    <w:rsid w:val="006B2591"/>
    <w:rsid w:val="006B31E1"/>
    <w:rsid w:val="006B3D00"/>
    <w:rsid w:val="006B527D"/>
    <w:rsid w:val="006B5525"/>
    <w:rsid w:val="006B5626"/>
    <w:rsid w:val="006B5A74"/>
    <w:rsid w:val="006B5B83"/>
    <w:rsid w:val="006B5C97"/>
    <w:rsid w:val="006B5D87"/>
    <w:rsid w:val="006B62A7"/>
    <w:rsid w:val="006B662A"/>
    <w:rsid w:val="006C0116"/>
    <w:rsid w:val="006C054D"/>
    <w:rsid w:val="006C0911"/>
    <w:rsid w:val="006C0B5E"/>
    <w:rsid w:val="006C0DA8"/>
    <w:rsid w:val="006C1576"/>
    <w:rsid w:val="006C1D39"/>
    <w:rsid w:val="006C2505"/>
    <w:rsid w:val="006C2617"/>
    <w:rsid w:val="006C460E"/>
    <w:rsid w:val="006C4B16"/>
    <w:rsid w:val="006C5517"/>
    <w:rsid w:val="006C620E"/>
    <w:rsid w:val="006C6E4A"/>
    <w:rsid w:val="006C77E2"/>
    <w:rsid w:val="006D010B"/>
    <w:rsid w:val="006D0A95"/>
    <w:rsid w:val="006D1141"/>
    <w:rsid w:val="006D1B82"/>
    <w:rsid w:val="006D24F3"/>
    <w:rsid w:val="006D2693"/>
    <w:rsid w:val="006D2F02"/>
    <w:rsid w:val="006D4179"/>
    <w:rsid w:val="006D4483"/>
    <w:rsid w:val="006D4A41"/>
    <w:rsid w:val="006D52D3"/>
    <w:rsid w:val="006D5705"/>
    <w:rsid w:val="006D59C7"/>
    <w:rsid w:val="006D59E1"/>
    <w:rsid w:val="006D5EA8"/>
    <w:rsid w:val="006D75F2"/>
    <w:rsid w:val="006E043B"/>
    <w:rsid w:val="006E0977"/>
    <w:rsid w:val="006E0A42"/>
    <w:rsid w:val="006E0B7E"/>
    <w:rsid w:val="006E1280"/>
    <w:rsid w:val="006E291E"/>
    <w:rsid w:val="006E2FEC"/>
    <w:rsid w:val="006E320D"/>
    <w:rsid w:val="006E3306"/>
    <w:rsid w:val="006E3B3F"/>
    <w:rsid w:val="006E454E"/>
    <w:rsid w:val="006E4B32"/>
    <w:rsid w:val="006E50E4"/>
    <w:rsid w:val="006E52E3"/>
    <w:rsid w:val="006E5DF5"/>
    <w:rsid w:val="006E6A2F"/>
    <w:rsid w:val="006E73AE"/>
    <w:rsid w:val="006F06D9"/>
    <w:rsid w:val="006F1126"/>
    <w:rsid w:val="006F1C87"/>
    <w:rsid w:val="006F1E85"/>
    <w:rsid w:val="006F2563"/>
    <w:rsid w:val="006F2862"/>
    <w:rsid w:val="006F341C"/>
    <w:rsid w:val="006F341E"/>
    <w:rsid w:val="006F34E1"/>
    <w:rsid w:val="006F3CBD"/>
    <w:rsid w:val="006F4716"/>
    <w:rsid w:val="006F666A"/>
    <w:rsid w:val="006F6997"/>
    <w:rsid w:val="006F70B1"/>
    <w:rsid w:val="006F76A2"/>
    <w:rsid w:val="006F7980"/>
    <w:rsid w:val="007005AE"/>
    <w:rsid w:val="00701000"/>
    <w:rsid w:val="007014F0"/>
    <w:rsid w:val="0070170D"/>
    <w:rsid w:val="007019FA"/>
    <w:rsid w:val="0070291A"/>
    <w:rsid w:val="00702DC0"/>
    <w:rsid w:val="00703344"/>
    <w:rsid w:val="00704223"/>
    <w:rsid w:val="00704313"/>
    <w:rsid w:val="00704D9C"/>
    <w:rsid w:val="00704E5D"/>
    <w:rsid w:val="0070538C"/>
    <w:rsid w:val="00705779"/>
    <w:rsid w:val="00705D8A"/>
    <w:rsid w:val="00707269"/>
    <w:rsid w:val="00707860"/>
    <w:rsid w:val="007109F7"/>
    <w:rsid w:val="007110DC"/>
    <w:rsid w:val="00711815"/>
    <w:rsid w:val="00711A42"/>
    <w:rsid w:val="00711C91"/>
    <w:rsid w:val="007123CF"/>
    <w:rsid w:val="007136C0"/>
    <w:rsid w:val="007150E4"/>
    <w:rsid w:val="007155B2"/>
    <w:rsid w:val="007156C9"/>
    <w:rsid w:val="00715C65"/>
    <w:rsid w:val="0071644D"/>
    <w:rsid w:val="00716808"/>
    <w:rsid w:val="007212C1"/>
    <w:rsid w:val="0072192B"/>
    <w:rsid w:val="00721CA3"/>
    <w:rsid w:val="007223E3"/>
    <w:rsid w:val="0072259C"/>
    <w:rsid w:val="00722EB1"/>
    <w:rsid w:val="00723D60"/>
    <w:rsid w:val="007246D4"/>
    <w:rsid w:val="007257F9"/>
    <w:rsid w:val="007259BF"/>
    <w:rsid w:val="00725FDB"/>
    <w:rsid w:val="007265EF"/>
    <w:rsid w:val="00726639"/>
    <w:rsid w:val="00726AEC"/>
    <w:rsid w:val="007304A1"/>
    <w:rsid w:val="0073097F"/>
    <w:rsid w:val="00730C28"/>
    <w:rsid w:val="00730E25"/>
    <w:rsid w:val="00731669"/>
    <w:rsid w:val="00731FD5"/>
    <w:rsid w:val="00732517"/>
    <w:rsid w:val="00733083"/>
    <w:rsid w:val="0073317D"/>
    <w:rsid w:val="007337E7"/>
    <w:rsid w:val="007347E5"/>
    <w:rsid w:val="00734DB5"/>
    <w:rsid w:val="007359FA"/>
    <w:rsid w:val="0073620A"/>
    <w:rsid w:val="0073680F"/>
    <w:rsid w:val="00736AFE"/>
    <w:rsid w:val="00737D73"/>
    <w:rsid w:val="0074049A"/>
    <w:rsid w:val="00740841"/>
    <w:rsid w:val="00742030"/>
    <w:rsid w:val="00743DF2"/>
    <w:rsid w:val="007442E8"/>
    <w:rsid w:val="007447C6"/>
    <w:rsid w:val="00744E62"/>
    <w:rsid w:val="007451DA"/>
    <w:rsid w:val="00745257"/>
    <w:rsid w:val="007462BF"/>
    <w:rsid w:val="00747218"/>
    <w:rsid w:val="007476EE"/>
    <w:rsid w:val="00747B6E"/>
    <w:rsid w:val="0075155C"/>
    <w:rsid w:val="00752382"/>
    <w:rsid w:val="00752424"/>
    <w:rsid w:val="00752730"/>
    <w:rsid w:val="00752976"/>
    <w:rsid w:val="00753527"/>
    <w:rsid w:val="0075478E"/>
    <w:rsid w:val="00754795"/>
    <w:rsid w:val="007550AD"/>
    <w:rsid w:val="007553FE"/>
    <w:rsid w:val="00755B76"/>
    <w:rsid w:val="00756FF1"/>
    <w:rsid w:val="00757D5B"/>
    <w:rsid w:val="00760A3A"/>
    <w:rsid w:val="00761047"/>
    <w:rsid w:val="007619B6"/>
    <w:rsid w:val="0076238C"/>
    <w:rsid w:val="007625AC"/>
    <w:rsid w:val="00762AA5"/>
    <w:rsid w:val="0076350B"/>
    <w:rsid w:val="007642DF"/>
    <w:rsid w:val="00764C0C"/>
    <w:rsid w:val="00765C85"/>
    <w:rsid w:val="00765DA8"/>
    <w:rsid w:val="00765EA8"/>
    <w:rsid w:val="00766665"/>
    <w:rsid w:val="0076670C"/>
    <w:rsid w:val="007674D1"/>
    <w:rsid w:val="00767740"/>
    <w:rsid w:val="00767845"/>
    <w:rsid w:val="007702C8"/>
    <w:rsid w:val="00770417"/>
    <w:rsid w:val="00770556"/>
    <w:rsid w:val="007716B1"/>
    <w:rsid w:val="00771CE5"/>
    <w:rsid w:val="00771D8A"/>
    <w:rsid w:val="00771E0B"/>
    <w:rsid w:val="00772715"/>
    <w:rsid w:val="0077344D"/>
    <w:rsid w:val="00773783"/>
    <w:rsid w:val="00773C2A"/>
    <w:rsid w:val="00774368"/>
    <w:rsid w:val="0077451D"/>
    <w:rsid w:val="00774C01"/>
    <w:rsid w:val="00774CA1"/>
    <w:rsid w:val="00776435"/>
    <w:rsid w:val="0077694A"/>
    <w:rsid w:val="00777363"/>
    <w:rsid w:val="00777FB4"/>
    <w:rsid w:val="00780493"/>
    <w:rsid w:val="007804B9"/>
    <w:rsid w:val="007804C9"/>
    <w:rsid w:val="00780D45"/>
    <w:rsid w:val="00781010"/>
    <w:rsid w:val="00781084"/>
    <w:rsid w:val="007812B4"/>
    <w:rsid w:val="00781A81"/>
    <w:rsid w:val="00781B55"/>
    <w:rsid w:val="00781D5F"/>
    <w:rsid w:val="00782926"/>
    <w:rsid w:val="00782945"/>
    <w:rsid w:val="00782C7B"/>
    <w:rsid w:val="00783294"/>
    <w:rsid w:val="007835FC"/>
    <w:rsid w:val="00784263"/>
    <w:rsid w:val="00785E3E"/>
    <w:rsid w:val="00787931"/>
    <w:rsid w:val="00787996"/>
    <w:rsid w:val="00787B04"/>
    <w:rsid w:val="00787B9B"/>
    <w:rsid w:val="00787D50"/>
    <w:rsid w:val="00790594"/>
    <w:rsid w:val="00790ABA"/>
    <w:rsid w:val="00790E88"/>
    <w:rsid w:val="007910ED"/>
    <w:rsid w:val="00791391"/>
    <w:rsid w:val="00791A1C"/>
    <w:rsid w:val="0079433D"/>
    <w:rsid w:val="007944FB"/>
    <w:rsid w:val="007946AC"/>
    <w:rsid w:val="00795604"/>
    <w:rsid w:val="00795FA1"/>
    <w:rsid w:val="00796379"/>
    <w:rsid w:val="00796834"/>
    <w:rsid w:val="00796E1C"/>
    <w:rsid w:val="00797406"/>
    <w:rsid w:val="00797744"/>
    <w:rsid w:val="007A08BF"/>
    <w:rsid w:val="007A17FB"/>
    <w:rsid w:val="007A1B71"/>
    <w:rsid w:val="007A1BC7"/>
    <w:rsid w:val="007A1DD7"/>
    <w:rsid w:val="007A24E0"/>
    <w:rsid w:val="007A2E0B"/>
    <w:rsid w:val="007A3E03"/>
    <w:rsid w:val="007A5622"/>
    <w:rsid w:val="007A5CCA"/>
    <w:rsid w:val="007A5D4D"/>
    <w:rsid w:val="007A5EE1"/>
    <w:rsid w:val="007A6D31"/>
    <w:rsid w:val="007A6D78"/>
    <w:rsid w:val="007B00EA"/>
    <w:rsid w:val="007B07AE"/>
    <w:rsid w:val="007B0ED4"/>
    <w:rsid w:val="007B1E76"/>
    <w:rsid w:val="007B2C9B"/>
    <w:rsid w:val="007B34ED"/>
    <w:rsid w:val="007B3565"/>
    <w:rsid w:val="007B44F9"/>
    <w:rsid w:val="007B4B78"/>
    <w:rsid w:val="007B4B87"/>
    <w:rsid w:val="007B5CDE"/>
    <w:rsid w:val="007B5EFE"/>
    <w:rsid w:val="007B5F4A"/>
    <w:rsid w:val="007B6604"/>
    <w:rsid w:val="007B683B"/>
    <w:rsid w:val="007B68D7"/>
    <w:rsid w:val="007B6BC6"/>
    <w:rsid w:val="007B6D13"/>
    <w:rsid w:val="007B77A7"/>
    <w:rsid w:val="007B7A97"/>
    <w:rsid w:val="007C0172"/>
    <w:rsid w:val="007C048D"/>
    <w:rsid w:val="007C05A9"/>
    <w:rsid w:val="007C0613"/>
    <w:rsid w:val="007C0ADA"/>
    <w:rsid w:val="007C1983"/>
    <w:rsid w:val="007C1AC4"/>
    <w:rsid w:val="007C21BD"/>
    <w:rsid w:val="007C2E9F"/>
    <w:rsid w:val="007C2EA7"/>
    <w:rsid w:val="007C459A"/>
    <w:rsid w:val="007C4E48"/>
    <w:rsid w:val="007C5AC8"/>
    <w:rsid w:val="007C656D"/>
    <w:rsid w:val="007C68D6"/>
    <w:rsid w:val="007C69E0"/>
    <w:rsid w:val="007C790C"/>
    <w:rsid w:val="007D131F"/>
    <w:rsid w:val="007D132E"/>
    <w:rsid w:val="007D156A"/>
    <w:rsid w:val="007D22FF"/>
    <w:rsid w:val="007D29D8"/>
    <w:rsid w:val="007D3E78"/>
    <w:rsid w:val="007D3E93"/>
    <w:rsid w:val="007D405F"/>
    <w:rsid w:val="007D4221"/>
    <w:rsid w:val="007D43C9"/>
    <w:rsid w:val="007D49D9"/>
    <w:rsid w:val="007D56EB"/>
    <w:rsid w:val="007D5872"/>
    <w:rsid w:val="007D6F20"/>
    <w:rsid w:val="007E0105"/>
    <w:rsid w:val="007E0266"/>
    <w:rsid w:val="007E1269"/>
    <w:rsid w:val="007E1901"/>
    <w:rsid w:val="007E25BD"/>
    <w:rsid w:val="007E27E9"/>
    <w:rsid w:val="007E282A"/>
    <w:rsid w:val="007E3F14"/>
    <w:rsid w:val="007E418A"/>
    <w:rsid w:val="007E4674"/>
    <w:rsid w:val="007E563F"/>
    <w:rsid w:val="007E57A7"/>
    <w:rsid w:val="007E5A8A"/>
    <w:rsid w:val="007E6837"/>
    <w:rsid w:val="007E6CC6"/>
    <w:rsid w:val="007E7727"/>
    <w:rsid w:val="007E7DB0"/>
    <w:rsid w:val="007F0276"/>
    <w:rsid w:val="007F0C3D"/>
    <w:rsid w:val="007F16C4"/>
    <w:rsid w:val="007F27BB"/>
    <w:rsid w:val="007F2936"/>
    <w:rsid w:val="007F2F44"/>
    <w:rsid w:val="007F3377"/>
    <w:rsid w:val="007F34A9"/>
    <w:rsid w:val="007F35A6"/>
    <w:rsid w:val="007F3D92"/>
    <w:rsid w:val="007F3FE6"/>
    <w:rsid w:val="007F41A2"/>
    <w:rsid w:val="007F49B0"/>
    <w:rsid w:val="007F4EE2"/>
    <w:rsid w:val="007F6436"/>
    <w:rsid w:val="007F6BD5"/>
    <w:rsid w:val="007F79FE"/>
    <w:rsid w:val="007F7DB2"/>
    <w:rsid w:val="00800FA3"/>
    <w:rsid w:val="00802F81"/>
    <w:rsid w:val="008041CD"/>
    <w:rsid w:val="008041F1"/>
    <w:rsid w:val="00804913"/>
    <w:rsid w:val="00804D8E"/>
    <w:rsid w:val="00804FA3"/>
    <w:rsid w:val="0080528B"/>
    <w:rsid w:val="008053A3"/>
    <w:rsid w:val="008062DB"/>
    <w:rsid w:val="008070B0"/>
    <w:rsid w:val="00807286"/>
    <w:rsid w:val="00807378"/>
    <w:rsid w:val="0080752B"/>
    <w:rsid w:val="0080795D"/>
    <w:rsid w:val="00807C36"/>
    <w:rsid w:val="0081003D"/>
    <w:rsid w:val="00812038"/>
    <w:rsid w:val="00812549"/>
    <w:rsid w:val="00812643"/>
    <w:rsid w:val="00812E0D"/>
    <w:rsid w:val="00813656"/>
    <w:rsid w:val="00813FC9"/>
    <w:rsid w:val="008145BA"/>
    <w:rsid w:val="00815753"/>
    <w:rsid w:val="008164DE"/>
    <w:rsid w:val="00817042"/>
    <w:rsid w:val="008174A4"/>
    <w:rsid w:val="00820FCA"/>
    <w:rsid w:val="008216E6"/>
    <w:rsid w:val="008217E5"/>
    <w:rsid w:val="00821824"/>
    <w:rsid w:val="00821A2D"/>
    <w:rsid w:val="008221EF"/>
    <w:rsid w:val="00822663"/>
    <w:rsid w:val="00822F15"/>
    <w:rsid w:val="00823808"/>
    <w:rsid w:val="00823A9F"/>
    <w:rsid w:val="00823D73"/>
    <w:rsid w:val="008271B8"/>
    <w:rsid w:val="008278BE"/>
    <w:rsid w:val="008279F8"/>
    <w:rsid w:val="00827B1F"/>
    <w:rsid w:val="00830432"/>
    <w:rsid w:val="00830472"/>
    <w:rsid w:val="00830584"/>
    <w:rsid w:val="00830CA5"/>
    <w:rsid w:val="00831096"/>
    <w:rsid w:val="00831165"/>
    <w:rsid w:val="0083121A"/>
    <w:rsid w:val="008312C0"/>
    <w:rsid w:val="0083154C"/>
    <w:rsid w:val="00832F23"/>
    <w:rsid w:val="008331CE"/>
    <w:rsid w:val="00833215"/>
    <w:rsid w:val="008348E7"/>
    <w:rsid w:val="00834BF3"/>
    <w:rsid w:val="0083500E"/>
    <w:rsid w:val="0083545F"/>
    <w:rsid w:val="0083582D"/>
    <w:rsid w:val="00835DCD"/>
    <w:rsid w:val="00836106"/>
    <w:rsid w:val="00836117"/>
    <w:rsid w:val="00836411"/>
    <w:rsid w:val="00837DB3"/>
    <w:rsid w:val="00840862"/>
    <w:rsid w:val="00840AE1"/>
    <w:rsid w:val="00840F96"/>
    <w:rsid w:val="008413A0"/>
    <w:rsid w:val="008414C4"/>
    <w:rsid w:val="00843015"/>
    <w:rsid w:val="00843406"/>
    <w:rsid w:val="008440F7"/>
    <w:rsid w:val="00844254"/>
    <w:rsid w:val="00846057"/>
    <w:rsid w:val="00846426"/>
    <w:rsid w:val="00846616"/>
    <w:rsid w:val="00846ABA"/>
    <w:rsid w:val="00846CB9"/>
    <w:rsid w:val="0084752D"/>
    <w:rsid w:val="008507CF"/>
    <w:rsid w:val="00850E85"/>
    <w:rsid w:val="00851FE0"/>
    <w:rsid w:val="008524D6"/>
    <w:rsid w:val="00852623"/>
    <w:rsid w:val="008526EC"/>
    <w:rsid w:val="00852CBF"/>
    <w:rsid w:val="0085308E"/>
    <w:rsid w:val="00853A0E"/>
    <w:rsid w:val="0085604C"/>
    <w:rsid w:val="008561D3"/>
    <w:rsid w:val="00857059"/>
    <w:rsid w:val="0085720F"/>
    <w:rsid w:val="008573BE"/>
    <w:rsid w:val="00860090"/>
    <w:rsid w:val="00861FEC"/>
    <w:rsid w:val="00863696"/>
    <w:rsid w:val="0086376D"/>
    <w:rsid w:val="0086405D"/>
    <w:rsid w:val="00864C0F"/>
    <w:rsid w:val="00864CF5"/>
    <w:rsid w:val="00865531"/>
    <w:rsid w:val="0086560D"/>
    <w:rsid w:val="008665FF"/>
    <w:rsid w:val="00867B7D"/>
    <w:rsid w:val="00867D3C"/>
    <w:rsid w:val="0087035B"/>
    <w:rsid w:val="00870B51"/>
    <w:rsid w:val="00870D57"/>
    <w:rsid w:val="0087146A"/>
    <w:rsid w:val="008716CE"/>
    <w:rsid w:val="008718AC"/>
    <w:rsid w:val="00871922"/>
    <w:rsid w:val="00871B8A"/>
    <w:rsid w:val="00871E0B"/>
    <w:rsid w:val="008729B5"/>
    <w:rsid w:val="00873545"/>
    <w:rsid w:val="0087399A"/>
    <w:rsid w:val="00874215"/>
    <w:rsid w:val="00874868"/>
    <w:rsid w:val="0087490E"/>
    <w:rsid w:val="00874A71"/>
    <w:rsid w:val="00874E71"/>
    <w:rsid w:val="008761C7"/>
    <w:rsid w:val="008774E5"/>
    <w:rsid w:val="00877891"/>
    <w:rsid w:val="0088023E"/>
    <w:rsid w:val="008804E2"/>
    <w:rsid w:val="008809A5"/>
    <w:rsid w:val="00880CA2"/>
    <w:rsid w:val="00881CA4"/>
    <w:rsid w:val="00881D39"/>
    <w:rsid w:val="008822D7"/>
    <w:rsid w:val="00882C43"/>
    <w:rsid w:val="00882CC9"/>
    <w:rsid w:val="008835A9"/>
    <w:rsid w:val="0088389E"/>
    <w:rsid w:val="00884019"/>
    <w:rsid w:val="00885319"/>
    <w:rsid w:val="00885476"/>
    <w:rsid w:val="00885CFE"/>
    <w:rsid w:val="008865DD"/>
    <w:rsid w:val="00887377"/>
    <w:rsid w:val="00887502"/>
    <w:rsid w:val="00887E02"/>
    <w:rsid w:val="00890E8C"/>
    <w:rsid w:val="00891785"/>
    <w:rsid w:val="00892C28"/>
    <w:rsid w:val="008939FD"/>
    <w:rsid w:val="008940CA"/>
    <w:rsid w:val="00894415"/>
    <w:rsid w:val="0089477A"/>
    <w:rsid w:val="0089563C"/>
    <w:rsid w:val="00895748"/>
    <w:rsid w:val="008968F4"/>
    <w:rsid w:val="0089698C"/>
    <w:rsid w:val="00896A38"/>
    <w:rsid w:val="00896C83"/>
    <w:rsid w:val="00897417"/>
    <w:rsid w:val="00897D19"/>
    <w:rsid w:val="00897E26"/>
    <w:rsid w:val="008A0064"/>
    <w:rsid w:val="008A01B3"/>
    <w:rsid w:val="008A0DA3"/>
    <w:rsid w:val="008A115E"/>
    <w:rsid w:val="008A157C"/>
    <w:rsid w:val="008A164C"/>
    <w:rsid w:val="008A2AEE"/>
    <w:rsid w:val="008A2E96"/>
    <w:rsid w:val="008A5485"/>
    <w:rsid w:val="008A599B"/>
    <w:rsid w:val="008A633A"/>
    <w:rsid w:val="008A652F"/>
    <w:rsid w:val="008A6AA4"/>
    <w:rsid w:val="008A759D"/>
    <w:rsid w:val="008A778E"/>
    <w:rsid w:val="008A7E10"/>
    <w:rsid w:val="008B0005"/>
    <w:rsid w:val="008B02EF"/>
    <w:rsid w:val="008B030A"/>
    <w:rsid w:val="008B082A"/>
    <w:rsid w:val="008B08EC"/>
    <w:rsid w:val="008B0913"/>
    <w:rsid w:val="008B0AAE"/>
    <w:rsid w:val="008B0ED6"/>
    <w:rsid w:val="008B0F9D"/>
    <w:rsid w:val="008B1CA1"/>
    <w:rsid w:val="008B23AE"/>
    <w:rsid w:val="008B2475"/>
    <w:rsid w:val="008B2E04"/>
    <w:rsid w:val="008B4306"/>
    <w:rsid w:val="008B4CAA"/>
    <w:rsid w:val="008B5DFD"/>
    <w:rsid w:val="008B5EA6"/>
    <w:rsid w:val="008B61D5"/>
    <w:rsid w:val="008B61F6"/>
    <w:rsid w:val="008B6ABD"/>
    <w:rsid w:val="008B732B"/>
    <w:rsid w:val="008B77C9"/>
    <w:rsid w:val="008B7A36"/>
    <w:rsid w:val="008B7B8D"/>
    <w:rsid w:val="008B7BF0"/>
    <w:rsid w:val="008C0120"/>
    <w:rsid w:val="008C0FB9"/>
    <w:rsid w:val="008C1042"/>
    <w:rsid w:val="008C162B"/>
    <w:rsid w:val="008C1714"/>
    <w:rsid w:val="008C1B76"/>
    <w:rsid w:val="008C2391"/>
    <w:rsid w:val="008C27EC"/>
    <w:rsid w:val="008C2ED5"/>
    <w:rsid w:val="008C306C"/>
    <w:rsid w:val="008C3135"/>
    <w:rsid w:val="008C3E2C"/>
    <w:rsid w:val="008C5AC7"/>
    <w:rsid w:val="008C5C83"/>
    <w:rsid w:val="008C5EDB"/>
    <w:rsid w:val="008C615C"/>
    <w:rsid w:val="008C6215"/>
    <w:rsid w:val="008C65F0"/>
    <w:rsid w:val="008C7282"/>
    <w:rsid w:val="008C733D"/>
    <w:rsid w:val="008D0DB4"/>
    <w:rsid w:val="008D1A52"/>
    <w:rsid w:val="008D2E91"/>
    <w:rsid w:val="008D38E9"/>
    <w:rsid w:val="008D412A"/>
    <w:rsid w:val="008D41B8"/>
    <w:rsid w:val="008D4434"/>
    <w:rsid w:val="008D48C6"/>
    <w:rsid w:val="008D4A05"/>
    <w:rsid w:val="008D51E4"/>
    <w:rsid w:val="008D557B"/>
    <w:rsid w:val="008D6F21"/>
    <w:rsid w:val="008D71AC"/>
    <w:rsid w:val="008D7448"/>
    <w:rsid w:val="008D74AC"/>
    <w:rsid w:val="008D7AE7"/>
    <w:rsid w:val="008E0593"/>
    <w:rsid w:val="008E15EC"/>
    <w:rsid w:val="008E18CD"/>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C1C"/>
    <w:rsid w:val="008E7D7C"/>
    <w:rsid w:val="008F0097"/>
    <w:rsid w:val="008F0BC4"/>
    <w:rsid w:val="008F1594"/>
    <w:rsid w:val="008F2449"/>
    <w:rsid w:val="008F290E"/>
    <w:rsid w:val="008F2EC0"/>
    <w:rsid w:val="008F44DB"/>
    <w:rsid w:val="008F4615"/>
    <w:rsid w:val="008F4ABC"/>
    <w:rsid w:val="008F591D"/>
    <w:rsid w:val="008F5FF8"/>
    <w:rsid w:val="008F60F8"/>
    <w:rsid w:val="008F619B"/>
    <w:rsid w:val="008F7199"/>
    <w:rsid w:val="008F74BB"/>
    <w:rsid w:val="008F7728"/>
    <w:rsid w:val="008F7CB6"/>
    <w:rsid w:val="00900066"/>
    <w:rsid w:val="009007FB"/>
    <w:rsid w:val="00900807"/>
    <w:rsid w:val="009008A9"/>
    <w:rsid w:val="00901452"/>
    <w:rsid w:val="00901740"/>
    <w:rsid w:val="00901D78"/>
    <w:rsid w:val="00901D92"/>
    <w:rsid w:val="00902A5D"/>
    <w:rsid w:val="00903003"/>
    <w:rsid w:val="00903C90"/>
    <w:rsid w:val="009041B8"/>
    <w:rsid w:val="009048D8"/>
    <w:rsid w:val="00904FF8"/>
    <w:rsid w:val="00905040"/>
    <w:rsid w:val="009052AA"/>
    <w:rsid w:val="00905A05"/>
    <w:rsid w:val="00906A75"/>
    <w:rsid w:val="00906F11"/>
    <w:rsid w:val="00907267"/>
    <w:rsid w:val="00907318"/>
    <w:rsid w:val="0090773A"/>
    <w:rsid w:val="009106BC"/>
    <w:rsid w:val="0091177E"/>
    <w:rsid w:val="0091193A"/>
    <w:rsid w:val="00911DE6"/>
    <w:rsid w:val="0091227A"/>
    <w:rsid w:val="009123E5"/>
    <w:rsid w:val="00912C01"/>
    <w:rsid w:val="00912C67"/>
    <w:rsid w:val="0091308A"/>
    <w:rsid w:val="009130AF"/>
    <w:rsid w:val="00913546"/>
    <w:rsid w:val="009141A9"/>
    <w:rsid w:val="00914BDB"/>
    <w:rsid w:val="0091673E"/>
    <w:rsid w:val="00916C77"/>
    <w:rsid w:val="00916FAA"/>
    <w:rsid w:val="009177DF"/>
    <w:rsid w:val="0091798B"/>
    <w:rsid w:val="00917C22"/>
    <w:rsid w:val="009203E8"/>
    <w:rsid w:val="00920617"/>
    <w:rsid w:val="00920827"/>
    <w:rsid w:val="00920AC6"/>
    <w:rsid w:val="00921152"/>
    <w:rsid w:val="00921423"/>
    <w:rsid w:val="009216DB"/>
    <w:rsid w:val="00922AE7"/>
    <w:rsid w:val="00924CFF"/>
    <w:rsid w:val="00925750"/>
    <w:rsid w:val="00925DB8"/>
    <w:rsid w:val="009260E8"/>
    <w:rsid w:val="009266AF"/>
    <w:rsid w:val="009267F8"/>
    <w:rsid w:val="00927552"/>
    <w:rsid w:val="009279DF"/>
    <w:rsid w:val="00927E1E"/>
    <w:rsid w:val="00927E3F"/>
    <w:rsid w:val="009308E9"/>
    <w:rsid w:val="00930A79"/>
    <w:rsid w:val="00930B49"/>
    <w:rsid w:val="00930D5E"/>
    <w:rsid w:val="00931AF3"/>
    <w:rsid w:val="00931F98"/>
    <w:rsid w:val="009325B8"/>
    <w:rsid w:val="0093270E"/>
    <w:rsid w:val="00934067"/>
    <w:rsid w:val="009341F9"/>
    <w:rsid w:val="00934B9C"/>
    <w:rsid w:val="0093687F"/>
    <w:rsid w:val="009377C8"/>
    <w:rsid w:val="009406FC"/>
    <w:rsid w:val="0094248A"/>
    <w:rsid w:val="00942A7E"/>
    <w:rsid w:val="00942C5A"/>
    <w:rsid w:val="00943212"/>
    <w:rsid w:val="00943761"/>
    <w:rsid w:val="00943F45"/>
    <w:rsid w:val="0094401B"/>
    <w:rsid w:val="009446CB"/>
    <w:rsid w:val="00944F89"/>
    <w:rsid w:val="0094502F"/>
    <w:rsid w:val="00946A93"/>
    <w:rsid w:val="00946ED5"/>
    <w:rsid w:val="009470DA"/>
    <w:rsid w:val="009472AC"/>
    <w:rsid w:val="0095090E"/>
    <w:rsid w:val="009517E6"/>
    <w:rsid w:val="0095190C"/>
    <w:rsid w:val="00951EE6"/>
    <w:rsid w:val="00952919"/>
    <w:rsid w:val="00952D09"/>
    <w:rsid w:val="00953229"/>
    <w:rsid w:val="00953739"/>
    <w:rsid w:val="0095373D"/>
    <w:rsid w:val="00953775"/>
    <w:rsid w:val="00954022"/>
    <w:rsid w:val="00954232"/>
    <w:rsid w:val="00954942"/>
    <w:rsid w:val="00955A9E"/>
    <w:rsid w:val="00956918"/>
    <w:rsid w:val="00956AFC"/>
    <w:rsid w:val="00957253"/>
    <w:rsid w:val="00957C2A"/>
    <w:rsid w:val="00957E4A"/>
    <w:rsid w:val="00957FF7"/>
    <w:rsid w:val="009612D6"/>
    <w:rsid w:val="009619AC"/>
    <w:rsid w:val="00963E11"/>
    <w:rsid w:val="00963E43"/>
    <w:rsid w:val="009656FC"/>
    <w:rsid w:val="00965718"/>
    <w:rsid w:val="00965777"/>
    <w:rsid w:val="00966040"/>
    <w:rsid w:val="00966074"/>
    <w:rsid w:val="00966F48"/>
    <w:rsid w:val="009677CB"/>
    <w:rsid w:val="009703A9"/>
    <w:rsid w:val="009708AE"/>
    <w:rsid w:val="00971220"/>
    <w:rsid w:val="00971DC1"/>
    <w:rsid w:val="00972D21"/>
    <w:rsid w:val="00972F1C"/>
    <w:rsid w:val="00973243"/>
    <w:rsid w:val="00973595"/>
    <w:rsid w:val="00973E7C"/>
    <w:rsid w:val="00974563"/>
    <w:rsid w:val="00974D6F"/>
    <w:rsid w:val="009752E2"/>
    <w:rsid w:val="009757C2"/>
    <w:rsid w:val="009759E2"/>
    <w:rsid w:val="00976456"/>
    <w:rsid w:val="00976475"/>
    <w:rsid w:val="0097769C"/>
    <w:rsid w:val="00977A83"/>
    <w:rsid w:val="00980207"/>
    <w:rsid w:val="00980AC9"/>
    <w:rsid w:val="009811FF"/>
    <w:rsid w:val="0098146F"/>
    <w:rsid w:val="00981B7C"/>
    <w:rsid w:val="00982191"/>
    <w:rsid w:val="0098222D"/>
    <w:rsid w:val="009825E8"/>
    <w:rsid w:val="00984383"/>
    <w:rsid w:val="009848F2"/>
    <w:rsid w:val="00984B31"/>
    <w:rsid w:val="00984D78"/>
    <w:rsid w:val="009857C8"/>
    <w:rsid w:val="00985F6A"/>
    <w:rsid w:val="009872B9"/>
    <w:rsid w:val="009908F0"/>
    <w:rsid w:val="0099101D"/>
    <w:rsid w:val="009919D2"/>
    <w:rsid w:val="00991E89"/>
    <w:rsid w:val="00992355"/>
    <w:rsid w:val="00992E15"/>
    <w:rsid w:val="00993957"/>
    <w:rsid w:val="00993A1E"/>
    <w:rsid w:val="009946E6"/>
    <w:rsid w:val="0099471C"/>
    <w:rsid w:val="00994842"/>
    <w:rsid w:val="00995A2A"/>
    <w:rsid w:val="009960E7"/>
    <w:rsid w:val="009964D4"/>
    <w:rsid w:val="00996786"/>
    <w:rsid w:val="0099687F"/>
    <w:rsid w:val="00996DF3"/>
    <w:rsid w:val="009977DE"/>
    <w:rsid w:val="009A02C6"/>
    <w:rsid w:val="009A09F9"/>
    <w:rsid w:val="009A0C93"/>
    <w:rsid w:val="009A1515"/>
    <w:rsid w:val="009A167F"/>
    <w:rsid w:val="009A1CED"/>
    <w:rsid w:val="009A22F9"/>
    <w:rsid w:val="009A27A1"/>
    <w:rsid w:val="009A306C"/>
    <w:rsid w:val="009A32C6"/>
    <w:rsid w:val="009A38BC"/>
    <w:rsid w:val="009A48E0"/>
    <w:rsid w:val="009A4B03"/>
    <w:rsid w:val="009A573F"/>
    <w:rsid w:val="009A58E9"/>
    <w:rsid w:val="009A72F9"/>
    <w:rsid w:val="009A7769"/>
    <w:rsid w:val="009A7BA1"/>
    <w:rsid w:val="009A7C4E"/>
    <w:rsid w:val="009A7F90"/>
    <w:rsid w:val="009B0F82"/>
    <w:rsid w:val="009B10D0"/>
    <w:rsid w:val="009B1360"/>
    <w:rsid w:val="009B1D48"/>
    <w:rsid w:val="009B2B26"/>
    <w:rsid w:val="009B3712"/>
    <w:rsid w:val="009B373A"/>
    <w:rsid w:val="009B3FD1"/>
    <w:rsid w:val="009B4528"/>
    <w:rsid w:val="009B462A"/>
    <w:rsid w:val="009B5519"/>
    <w:rsid w:val="009B5625"/>
    <w:rsid w:val="009B56B6"/>
    <w:rsid w:val="009B6B6C"/>
    <w:rsid w:val="009B6EAB"/>
    <w:rsid w:val="009B7110"/>
    <w:rsid w:val="009B719A"/>
    <w:rsid w:val="009C0242"/>
    <w:rsid w:val="009C07AD"/>
    <w:rsid w:val="009C0E0B"/>
    <w:rsid w:val="009C1263"/>
    <w:rsid w:val="009C1D1F"/>
    <w:rsid w:val="009C1F0E"/>
    <w:rsid w:val="009C2439"/>
    <w:rsid w:val="009C2499"/>
    <w:rsid w:val="009C2E11"/>
    <w:rsid w:val="009C332D"/>
    <w:rsid w:val="009C3571"/>
    <w:rsid w:val="009C3946"/>
    <w:rsid w:val="009C3BA8"/>
    <w:rsid w:val="009C45A3"/>
    <w:rsid w:val="009C4DC6"/>
    <w:rsid w:val="009C4F47"/>
    <w:rsid w:val="009C5748"/>
    <w:rsid w:val="009C6082"/>
    <w:rsid w:val="009C64EA"/>
    <w:rsid w:val="009C691E"/>
    <w:rsid w:val="009C6E3D"/>
    <w:rsid w:val="009C7344"/>
    <w:rsid w:val="009C7B65"/>
    <w:rsid w:val="009C7CF0"/>
    <w:rsid w:val="009D036D"/>
    <w:rsid w:val="009D06D9"/>
    <w:rsid w:val="009D06EB"/>
    <w:rsid w:val="009D0A68"/>
    <w:rsid w:val="009D1928"/>
    <w:rsid w:val="009D2211"/>
    <w:rsid w:val="009D3DF1"/>
    <w:rsid w:val="009D47A1"/>
    <w:rsid w:val="009D47AA"/>
    <w:rsid w:val="009D48DC"/>
    <w:rsid w:val="009D4EA1"/>
    <w:rsid w:val="009D50D3"/>
    <w:rsid w:val="009D55C7"/>
    <w:rsid w:val="009D5749"/>
    <w:rsid w:val="009D594D"/>
    <w:rsid w:val="009D5C8A"/>
    <w:rsid w:val="009D6328"/>
    <w:rsid w:val="009D6FC5"/>
    <w:rsid w:val="009D7029"/>
    <w:rsid w:val="009D75E4"/>
    <w:rsid w:val="009D7B07"/>
    <w:rsid w:val="009D7B57"/>
    <w:rsid w:val="009D7DA3"/>
    <w:rsid w:val="009E03FE"/>
    <w:rsid w:val="009E0C69"/>
    <w:rsid w:val="009E149B"/>
    <w:rsid w:val="009E1894"/>
    <w:rsid w:val="009E1DC1"/>
    <w:rsid w:val="009E23AA"/>
    <w:rsid w:val="009E2B16"/>
    <w:rsid w:val="009E2BA6"/>
    <w:rsid w:val="009E2BF8"/>
    <w:rsid w:val="009E2D49"/>
    <w:rsid w:val="009E3A7B"/>
    <w:rsid w:val="009E3E26"/>
    <w:rsid w:val="009E40D2"/>
    <w:rsid w:val="009E47B3"/>
    <w:rsid w:val="009E54BC"/>
    <w:rsid w:val="009E564D"/>
    <w:rsid w:val="009E61BB"/>
    <w:rsid w:val="009E62A1"/>
    <w:rsid w:val="009E6384"/>
    <w:rsid w:val="009E7609"/>
    <w:rsid w:val="009E76E5"/>
    <w:rsid w:val="009E770E"/>
    <w:rsid w:val="009E7EBB"/>
    <w:rsid w:val="009E7F8C"/>
    <w:rsid w:val="009F2065"/>
    <w:rsid w:val="009F224E"/>
    <w:rsid w:val="009F25A7"/>
    <w:rsid w:val="009F25AF"/>
    <w:rsid w:val="009F282C"/>
    <w:rsid w:val="009F2876"/>
    <w:rsid w:val="009F304C"/>
    <w:rsid w:val="009F3B72"/>
    <w:rsid w:val="009F3C10"/>
    <w:rsid w:val="009F3E8D"/>
    <w:rsid w:val="009F4B15"/>
    <w:rsid w:val="009F4F1B"/>
    <w:rsid w:val="009F4F30"/>
    <w:rsid w:val="009F559A"/>
    <w:rsid w:val="009F6821"/>
    <w:rsid w:val="009F725B"/>
    <w:rsid w:val="009F7D89"/>
    <w:rsid w:val="00A0071A"/>
    <w:rsid w:val="00A00E54"/>
    <w:rsid w:val="00A0172E"/>
    <w:rsid w:val="00A01875"/>
    <w:rsid w:val="00A01B88"/>
    <w:rsid w:val="00A024F6"/>
    <w:rsid w:val="00A028CF"/>
    <w:rsid w:val="00A0350E"/>
    <w:rsid w:val="00A0377F"/>
    <w:rsid w:val="00A03F27"/>
    <w:rsid w:val="00A0485E"/>
    <w:rsid w:val="00A05175"/>
    <w:rsid w:val="00A05547"/>
    <w:rsid w:val="00A06100"/>
    <w:rsid w:val="00A061BA"/>
    <w:rsid w:val="00A071CE"/>
    <w:rsid w:val="00A076CE"/>
    <w:rsid w:val="00A07E6B"/>
    <w:rsid w:val="00A10875"/>
    <w:rsid w:val="00A10F56"/>
    <w:rsid w:val="00A11413"/>
    <w:rsid w:val="00A11775"/>
    <w:rsid w:val="00A12BBE"/>
    <w:rsid w:val="00A12C31"/>
    <w:rsid w:val="00A1353F"/>
    <w:rsid w:val="00A13C12"/>
    <w:rsid w:val="00A1418D"/>
    <w:rsid w:val="00A1527C"/>
    <w:rsid w:val="00A157E7"/>
    <w:rsid w:val="00A15DA7"/>
    <w:rsid w:val="00A16EE7"/>
    <w:rsid w:val="00A172BE"/>
    <w:rsid w:val="00A17BD0"/>
    <w:rsid w:val="00A2017D"/>
    <w:rsid w:val="00A203AB"/>
    <w:rsid w:val="00A20D2E"/>
    <w:rsid w:val="00A2153D"/>
    <w:rsid w:val="00A21B39"/>
    <w:rsid w:val="00A21F1C"/>
    <w:rsid w:val="00A22AFB"/>
    <w:rsid w:val="00A23FD9"/>
    <w:rsid w:val="00A24377"/>
    <w:rsid w:val="00A247F3"/>
    <w:rsid w:val="00A2507B"/>
    <w:rsid w:val="00A27638"/>
    <w:rsid w:val="00A27D0C"/>
    <w:rsid w:val="00A27E72"/>
    <w:rsid w:val="00A30B11"/>
    <w:rsid w:val="00A31824"/>
    <w:rsid w:val="00A319AE"/>
    <w:rsid w:val="00A33031"/>
    <w:rsid w:val="00A330E5"/>
    <w:rsid w:val="00A3321F"/>
    <w:rsid w:val="00A333C6"/>
    <w:rsid w:val="00A33B95"/>
    <w:rsid w:val="00A33D05"/>
    <w:rsid w:val="00A33F5F"/>
    <w:rsid w:val="00A33FAC"/>
    <w:rsid w:val="00A34521"/>
    <w:rsid w:val="00A345F5"/>
    <w:rsid w:val="00A347E3"/>
    <w:rsid w:val="00A35411"/>
    <w:rsid w:val="00A35873"/>
    <w:rsid w:val="00A367DB"/>
    <w:rsid w:val="00A40274"/>
    <w:rsid w:val="00A40375"/>
    <w:rsid w:val="00A405CB"/>
    <w:rsid w:val="00A407C3"/>
    <w:rsid w:val="00A40FB6"/>
    <w:rsid w:val="00A4118B"/>
    <w:rsid w:val="00A41808"/>
    <w:rsid w:val="00A424B5"/>
    <w:rsid w:val="00A429E6"/>
    <w:rsid w:val="00A438F0"/>
    <w:rsid w:val="00A43EDA"/>
    <w:rsid w:val="00A44009"/>
    <w:rsid w:val="00A44569"/>
    <w:rsid w:val="00A445EB"/>
    <w:rsid w:val="00A448CD"/>
    <w:rsid w:val="00A4552A"/>
    <w:rsid w:val="00A4591C"/>
    <w:rsid w:val="00A45E01"/>
    <w:rsid w:val="00A45F33"/>
    <w:rsid w:val="00A46E68"/>
    <w:rsid w:val="00A4746D"/>
    <w:rsid w:val="00A47BC2"/>
    <w:rsid w:val="00A50201"/>
    <w:rsid w:val="00A50B0B"/>
    <w:rsid w:val="00A51183"/>
    <w:rsid w:val="00A5229D"/>
    <w:rsid w:val="00A52B86"/>
    <w:rsid w:val="00A53446"/>
    <w:rsid w:val="00A549D6"/>
    <w:rsid w:val="00A54B67"/>
    <w:rsid w:val="00A568DD"/>
    <w:rsid w:val="00A601A1"/>
    <w:rsid w:val="00A60401"/>
    <w:rsid w:val="00A60B7C"/>
    <w:rsid w:val="00A60DE6"/>
    <w:rsid w:val="00A61912"/>
    <w:rsid w:val="00A62009"/>
    <w:rsid w:val="00A6215F"/>
    <w:rsid w:val="00A62B16"/>
    <w:rsid w:val="00A62D6C"/>
    <w:rsid w:val="00A62DEC"/>
    <w:rsid w:val="00A631CA"/>
    <w:rsid w:val="00A63636"/>
    <w:rsid w:val="00A642A8"/>
    <w:rsid w:val="00A64384"/>
    <w:rsid w:val="00A646CD"/>
    <w:rsid w:val="00A64E2A"/>
    <w:rsid w:val="00A64F2E"/>
    <w:rsid w:val="00A65101"/>
    <w:rsid w:val="00A65992"/>
    <w:rsid w:val="00A6660C"/>
    <w:rsid w:val="00A675AC"/>
    <w:rsid w:val="00A67B21"/>
    <w:rsid w:val="00A67ED7"/>
    <w:rsid w:val="00A707E6"/>
    <w:rsid w:val="00A71A27"/>
    <w:rsid w:val="00A723F7"/>
    <w:rsid w:val="00A72A3A"/>
    <w:rsid w:val="00A72B12"/>
    <w:rsid w:val="00A72CAC"/>
    <w:rsid w:val="00A72E2D"/>
    <w:rsid w:val="00A72F09"/>
    <w:rsid w:val="00A7340B"/>
    <w:rsid w:val="00A737F8"/>
    <w:rsid w:val="00A73E81"/>
    <w:rsid w:val="00A73FE3"/>
    <w:rsid w:val="00A75A51"/>
    <w:rsid w:val="00A765FA"/>
    <w:rsid w:val="00A77C9D"/>
    <w:rsid w:val="00A80AAC"/>
    <w:rsid w:val="00A81970"/>
    <w:rsid w:val="00A81A1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A5F"/>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7DD"/>
    <w:rsid w:val="00AA3975"/>
    <w:rsid w:val="00AA43CF"/>
    <w:rsid w:val="00AA483D"/>
    <w:rsid w:val="00AA56FC"/>
    <w:rsid w:val="00AA5AD3"/>
    <w:rsid w:val="00AA5EC0"/>
    <w:rsid w:val="00AA6837"/>
    <w:rsid w:val="00AA69BE"/>
    <w:rsid w:val="00AA6B16"/>
    <w:rsid w:val="00AB0098"/>
    <w:rsid w:val="00AB03DB"/>
    <w:rsid w:val="00AB06F3"/>
    <w:rsid w:val="00AB0C57"/>
    <w:rsid w:val="00AB0F2A"/>
    <w:rsid w:val="00AB1667"/>
    <w:rsid w:val="00AB1D45"/>
    <w:rsid w:val="00AB223B"/>
    <w:rsid w:val="00AB2AD5"/>
    <w:rsid w:val="00AB2EED"/>
    <w:rsid w:val="00AB3B99"/>
    <w:rsid w:val="00AB48DD"/>
    <w:rsid w:val="00AB60A6"/>
    <w:rsid w:val="00AB60B1"/>
    <w:rsid w:val="00AB64F8"/>
    <w:rsid w:val="00AB6630"/>
    <w:rsid w:val="00AB66E8"/>
    <w:rsid w:val="00AB6F2C"/>
    <w:rsid w:val="00AB71EC"/>
    <w:rsid w:val="00AB785C"/>
    <w:rsid w:val="00AC025E"/>
    <w:rsid w:val="00AC1338"/>
    <w:rsid w:val="00AC1EF4"/>
    <w:rsid w:val="00AC2365"/>
    <w:rsid w:val="00AC28B1"/>
    <w:rsid w:val="00AC2980"/>
    <w:rsid w:val="00AC2D3E"/>
    <w:rsid w:val="00AC3BA6"/>
    <w:rsid w:val="00AC404D"/>
    <w:rsid w:val="00AC4071"/>
    <w:rsid w:val="00AC41BB"/>
    <w:rsid w:val="00AC48A7"/>
    <w:rsid w:val="00AC4F3A"/>
    <w:rsid w:val="00AC5165"/>
    <w:rsid w:val="00AC61DE"/>
    <w:rsid w:val="00AC6C7B"/>
    <w:rsid w:val="00AC7E59"/>
    <w:rsid w:val="00AD068B"/>
    <w:rsid w:val="00AD0967"/>
    <w:rsid w:val="00AD0F99"/>
    <w:rsid w:val="00AD13B7"/>
    <w:rsid w:val="00AD1A32"/>
    <w:rsid w:val="00AD1FEE"/>
    <w:rsid w:val="00AD224C"/>
    <w:rsid w:val="00AD30BE"/>
    <w:rsid w:val="00AD36CE"/>
    <w:rsid w:val="00AD47E7"/>
    <w:rsid w:val="00AD53EA"/>
    <w:rsid w:val="00AD56BC"/>
    <w:rsid w:val="00AD5C31"/>
    <w:rsid w:val="00AD6527"/>
    <w:rsid w:val="00AD6536"/>
    <w:rsid w:val="00AD6CDF"/>
    <w:rsid w:val="00AD6DB4"/>
    <w:rsid w:val="00AD7853"/>
    <w:rsid w:val="00AD79AA"/>
    <w:rsid w:val="00AD7BC9"/>
    <w:rsid w:val="00AD7E9D"/>
    <w:rsid w:val="00AE08F5"/>
    <w:rsid w:val="00AE12F3"/>
    <w:rsid w:val="00AE1CE5"/>
    <w:rsid w:val="00AE1E55"/>
    <w:rsid w:val="00AE2118"/>
    <w:rsid w:val="00AE24BE"/>
    <w:rsid w:val="00AE3327"/>
    <w:rsid w:val="00AE3436"/>
    <w:rsid w:val="00AE3D1A"/>
    <w:rsid w:val="00AE3D4D"/>
    <w:rsid w:val="00AE404D"/>
    <w:rsid w:val="00AE433F"/>
    <w:rsid w:val="00AE4930"/>
    <w:rsid w:val="00AE4E8D"/>
    <w:rsid w:val="00AE50C5"/>
    <w:rsid w:val="00AE55C3"/>
    <w:rsid w:val="00AE5935"/>
    <w:rsid w:val="00AE64A9"/>
    <w:rsid w:val="00AE6D38"/>
    <w:rsid w:val="00AE6F98"/>
    <w:rsid w:val="00AE709D"/>
    <w:rsid w:val="00AE7165"/>
    <w:rsid w:val="00AE7ACC"/>
    <w:rsid w:val="00AE7D8E"/>
    <w:rsid w:val="00AF563D"/>
    <w:rsid w:val="00AF65FF"/>
    <w:rsid w:val="00AF661C"/>
    <w:rsid w:val="00AF6659"/>
    <w:rsid w:val="00AF67A7"/>
    <w:rsid w:val="00AF74AE"/>
    <w:rsid w:val="00AF793E"/>
    <w:rsid w:val="00B00A28"/>
    <w:rsid w:val="00B00BE0"/>
    <w:rsid w:val="00B01933"/>
    <w:rsid w:val="00B01F34"/>
    <w:rsid w:val="00B02FB2"/>
    <w:rsid w:val="00B03C1D"/>
    <w:rsid w:val="00B03C2F"/>
    <w:rsid w:val="00B03FD2"/>
    <w:rsid w:val="00B05042"/>
    <w:rsid w:val="00B051E0"/>
    <w:rsid w:val="00B06335"/>
    <w:rsid w:val="00B06E74"/>
    <w:rsid w:val="00B070CB"/>
    <w:rsid w:val="00B071C6"/>
    <w:rsid w:val="00B0776A"/>
    <w:rsid w:val="00B0782A"/>
    <w:rsid w:val="00B07CE9"/>
    <w:rsid w:val="00B10588"/>
    <w:rsid w:val="00B10CFF"/>
    <w:rsid w:val="00B10E8D"/>
    <w:rsid w:val="00B115C4"/>
    <w:rsid w:val="00B124DF"/>
    <w:rsid w:val="00B12C95"/>
    <w:rsid w:val="00B1333B"/>
    <w:rsid w:val="00B16D0C"/>
    <w:rsid w:val="00B17611"/>
    <w:rsid w:val="00B17972"/>
    <w:rsid w:val="00B17BDD"/>
    <w:rsid w:val="00B17EE6"/>
    <w:rsid w:val="00B2013C"/>
    <w:rsid w:val="00B20876"/>
    <w:rsid w:val="00B20F28"/>
    <w:rsid w:val="00B213A8"/>
    <w:rsid w:val="00B21533"/>
    <w:rsid w:val="00B21869"/>
    <w:rsid w:val="00B21DA3"/>
    <w:rsid w:val="00B21E4F"/>
    <w:rsid w:val="00B22605"/>
    <w:rsid w:val="00B22835"/>
    <w:rsid w:val="00B238F8"/>
    <w:rsid w:val="00B23DB8"/>
    <w:rsid w:val="00B2562C"/>
    <w:rsid w:val="00B258FC"/>
    <w:rsid w:val="00B26BEF"/>
    <w:rsid w:val="00B303AD"/>
    <w:rsid w:val="00B311A3"/>
    <w:rsid w:val="00B31F12"/>
    <w:rsid w:val="00B32966"/>
    <w:rsid w:val="00B32E8E"/>
    <w:rsid w:val="00B33746"/>
    <w:rsid w:val="00B341D6"/>
    <w:rsid w:val="00B345AF"/>
    <w:rsid w:val="00B35314"/>
    <w:rsid w:val="00B3709F"/>
    <w:rsid w:val="00B3758F"/>
    <w:rsid w:val="00B3772C"/>
    <w:rsid w:val="00B37A98"/>
    <w:rsid w:val="00B427E6"/>
    <w:rsid w:val="00B42B9E"/>
    <w:rsid w:val="00B432FA"/>
    <w:rsid w:val="00B4343E"/>
    <w:rsid w:val="00B43790"/>
    <w:rsid w:val="00B438B1"/>
    <w:rsid w:val="00B44476"/>
    <w:rsid w:val="00B4467C"/>
    <w:rsid w:val="00B44C15"/>
    <w:rsid w:val="00B44CF9"/>
    <w:rsid w:val="00B45BE8"/>
    <w:rsid w:val="00B46527"/>
    <w:rsid w:val="00B4696A"/>
    <w:rsid w:val="00B46AF4"/>
    <w:rsid w:val="00B46B6A"/>
    <w:rsid w:val="00B4717C"/>
    <w:rsid w:val="00B4740C"/>
    <w:rsid w:val="00B47BC3"/>
    <w:rsid w:val="00B47CD0"/>
    <w:rsid w:val="00B504F8"/>
    <w:rsid w:val="00B50E44"/>
    <w:rsid w:val="00B51C72"/>
    <w:rsid w:val="00B5200C"/>
    <w:rsid w:val="00B542DE"/>
    <w:rsid w:val="00B5449A"/>
    <w:rsid w:val="00B557E3"/>
    <w:rsid w:val="00B55E83"/>
    <w:rsid w:val="00B56633"/>
    <w:rsid w:val="00B566CA"/>
    <w:rsid w:val="00B56D9C"/>
    <w:rsid w:val="00B572E6"/>
    <w:rsid w:val="00B6046E"/>
    <w:rsid w:val="00B60825"/>
    <w:rsid w:val="00B608EC"/>
    <w:rsid w:val="00B60CD2"/>
    <w:rsid w:val="00B60ECF"/>
    <w:rsid w:val="00B60F1C"/>
    <w:rsid w:val="00B61029"/>
    <w:rsid w:val="00B6118C"/>
    <w:rsid w:val="00B627C2"/>
    <w:rsid w:val="00B627EE"/>
    <w:rsid w:val="00B62813"/>
    <w:rsid w:val="00B63A53"/>
    <w:rsid w:val="00B63A5E"/>
    <w:rsid w:val="00B64912"/>
    <w:rsid w:val="00B64EAD"/>
    <w:rsid w:val="00B6541B"/>
    <w:rsid w:val="00B65D42"/>
    <w:rsid w:val="00B660A1"/>
    <w:rsid w:val="00B66D05"/>
    <w:rsid w:val="00B66D72"/>
    <w:rsid w:val="00B674C3"/>
    <w:rsid w:val="00B67D4D"/>
    <w:rsid w:val="00B7044F"/>
    <w:rsid w:val="00B70B42"/>
    <w:rsid w:val="00B70E21"/>
    <w:rsid w:val="00B710C4"/>
    <w:rsid w:val="00B71CC4"/>
    <w:rsid w:val="00B72DC8"/>
    <w:rsid w:val="00B73958"/>
    <w:rsid w:val="00B739D8"/>
    <w:rsid w:val="00B73AC6"/>
    <w:rsid w:val="00B740AF"/>
    <w:rsid w:val="00B74B20"/>
    <w:rsid w:val="00B75220"/>
    <w:rsid w:val="00B758F4"/>
    <w:rsid w:val="00B75BF8"/>
    <w:rsid w:val="00B75CB7"/>
    <w:rsid w:val="00B75F87"/>
    <w:rsid w:val="00B7645F"/>
    <w:rsid w:val="00B76D83"/>
    <w:rsid w:val="00B76E16"/>
    <w:rsid w:val="00B76E27"/>
    <w:rsid w:val="00B779E3"/>
    <w:rsid w:val="00B803E2"/>
    <w:rsid w:val="00B80DB3"/>
    <w:rsid w:val="00B8101E"/>
    <w:rsid w:val="00B8103D"/>
    <w:rsid w:val="00B81530"/>
    <w:rsid w:val="00B81749"/>
    <w:rsid w:val="00B82CAC"/>
    <w:rsid w:val="00B83124"/>
    <w:rsid w:val="00B8325B"/>
    <w:rsid w:val="00B84298"/>
    <w:rsid w:val="00B84D9B"/>
    <w:rsid w:val="00B85CA9"/>
    <w:rsid w:val="00B86C5F"/>
    <w:rsid w:val="00B876EB"/>
    <w:rsid w:val="00B87CC0"/>
    <w:rsid w:val="00B922BB"/>
    <w:rsid w:val="00B92890"/>
    <w:rsid w:val="00B92B25"/>
    <w:rsid w:val="00B92CF4"/>
    <w:rsid w:val="00B92E09"/>
    <w:rsid w:val="00B92E8E"/>
    <w:rsid w:val="00B9361B"/>
    <w:rsid w:val="00B942D8"/>
    <w:rsid w:val="00B94358"/>
    <w:rsid w:val="00B959E3"/>
    <w:rsid w:val="00B96E35"/>
    <w:rsid w:val="00B96E63"/>
    <w:rsid w:val="00B97C36"/>
    <w:rsid w:val="00B97CE6"/>
    <w:rsid w:val="00BA01DF"/>
    <w:rsid w:val="00BA09A6"/>
    <w:rsid w:val="00BA129F"/>
    <w:rsid w:val="00BA12C4"/>
    <w:rsid w:val="00BA1B6A"/>
    <w:rsid w:val="00BA2ACE"/>
    <w:rsid w:val="00BA3034"/>
    <w:rsid w:val="00BA33EB"/>
    <w:rsid w:val="00BA3473"/>
    <w:rsid w:val="00BA3910"/>
    <w:rsid w:val="00BA3D0D"/>
    <w:rsid w:val="00BA49EA"/>
    <w:rsid w:val="00BA49F6"/>
    <w:rsid w:val="00BA580E"/>
    <w:rsid w:val="00BA65F5"/>
    <w:rsid w:val="00BA6B4A"/>
    <w:rsid w:val="00BA7269"/>
    <w:rsid w:val="00BA7277"/>
    <w:rsid w:val="00BA763C"/>
    <w:rsid w:val="00BA79A8"/>
    <w:rsid w:val="00BA7CE6"/>
    <w:rsid w:val="00BA7D54"/>
    <w:rsid w:val="00BA7EBB"/>
    <w:rsid w:val="00BB1F35"/>
    <w:rsid w:val="00BB2576"/>
    <w:rsid w:val="00BB2A1A"/>
    <w:rsid w:val="00BB3BDA"/>
    <w:rsid w:val="00BB45F5"/>
    <w:rsid w:val="00BB635C"/>
    <w:rsid w:val="00BB69CB"/>
    <w:rsid w:val="00BB6E17"/>
    <w:rsid w:val="00BB72EA"/>
    <w:rsid w:val="00BC01B9"/>
    <w:rsid w:val="00BC068E"/>
    <w:rsid w:val="00BC0BD3"/>
    <w:rsid w:val="00BC0BEF"/>
    <w:rsid w:val="00BC0C31"/>
    <w:rsid w:val="00BC139A"/>
    <w:rsid w:val="00BC2A9C"/>
    <w:rsid w:val="00BC2E68"/>
    <w:rsid w:val="00BC33D0"/>
    <w:rsid w:val="00BC35B6"/>
    <w:rsid w:val="00BC37C3"/>
    <w:rsid w:val="00BC45D7"/>
    <w:rsid w:val="00BC5096"/>
    <w:rsid w:val="00BC5957"/>
    <w:rsid w:val="00BC5FA8"/>
    <w:rsid w:val="00BC626C"/>
    <w:rsid w:val="00BC6487"/>
    <w:rsid w:val="00BC654E"/>
    <w:rsid w:val="00BC65E9"/>
    <w:rsid w:val="00BC681F"/>
    <w:rsid w:val="00BC760E"/>
    <w:rsid w:val="00BC7AF7"/>
    <w:rsid w:val="00BC7B31"/>
    <w:rsid w:val="00BC7EA5"/>
    <w:rsid w:val="00BD03EC"/>
    <w:rsid w:val="00BD1863"/>
    <w:rsid w:val="00BD3C4D"/>
    <w:rsid w:val="00BD3D55"/>
    <w:rsid w:val="00BD3F33"/>
    <w:rsid w:val="00BD41A0"/>
    <w:rsid w:val="00BD46E6"/>
    <w:rsid w:val="00BD47DE"/>
    <w:rsid w:val="00BD4EF0"/>
    <w:rsid w:val="00BD502E"/>
    <w:rsid w:val="00BD50E5"/>
    <w:rsid w:val="00BD623B"/>
    <w:rsid w:val="00BD6370"/>
    <w:rsid w:val="00BD698C"/>
    <w:rsid w:val="00BD69A1"/>
    <w:rsid w:val="00BD73C0"/>
    <w:rsid w:val="00BD7835"/>
    <w:rsid w:val="00BD79C3"/>
    <w:rsid w:val="00BD7A68"/>
    <w:rsid w:val="00BD7D7A"/>
    <w:rsid w:val="00BE1793"/>
    <w:rsid w:val="00BE1DA8"/>
    <w:rsid w:val="00BE213D"/>
    <w:rsid w:val="00BE27AD"/>
    <w:rsid w:val="00BE289C"/>
    <w:rsid w:val="00BE2987"/>
    <w:rsid w:val="00BE2DF6"/>
    <w:rsid w:val="00BE318B"/>
    <w:rsid w:val="00BE34E2"/>
    <w:rsid w:val="00BE396A"/>
    <w:rsid w:val="00BE3A21"/>
    <w:rsid w:val="00BE4681"/>
    <w:rsid w:val="00BE4EB5"/>
    <w:rsid w:val="00BE5E98"/>
    <w:rsid w:val="00BE5F55"/>
    <w:rsid w:val="00BE646A"/>
    <w:rsid w:val="00BE646B"/>
    <w:rsid w:val="00BE6786"/>
    <w:rsid w:val="00BE6F82"/>
    <w:rsid w:val="00BE719D"/>
    <w:rsid w:val="00BE7B7B"/>
    <w:rsid w:val="00BF0492"/>
    <w:rsid w:val="00BF1085"/>
    <w:rsid w:val="00BF15F8"/>
    <w:rsid w:val="00BF2938"/>
    <w:rsid w:val="00BF3499"/>
    <w:rsid w:val="00BF38EF"/>
    <w:rsid w:val="00BF408D"/>
    <w:rsid w:val="00BF5B01"/>
    <w:rsid w:val="00BF69BC"/>
    <w:rsid w:val="00BF6A60"/>
    <w:rsid w:val="00BF6CBF"/>
    <w:rsid w:val="00BF6EA8"/>
    <w:rsid w:val="00BF7633"/>
    <w:rsid w:val="00BF7B8F"/>
    <w:rsid w:val="00BF7B9E"/>
    <w:rsid w:val="00BF7BCA"/>
    <w:rsid w:val="00C00EF6"/>
    <w:rsid w:val="00C01526"/>
    <w:rsid w:val="00C01BB4"/>
    <w:rsid w:val="00C02802"/>
    <w:rsid w:val="00C0319E"/>
    <w:rsid w:val="00C03B5E"/>
    <w:rsid w:val="00C0401B"/>
    <w:rsid w:val="00C0435C"/>
    <w:rsid w:val="00C046EB"/>
    <w:rsid w:val="00C04B1E"/>
    <w:rsid w:val="00C05647"/>
    <w:rsid w:val="00C05A53"/>
    <w:rsid w:val="00C0717F"/>
    <w:rsid w:val="00C074BC"/>
    <w:rsid w:val="00C076CA"/>
    <w:rsid w:val="00C07811"/>
    <w:rsid w:val="00C10580"/>
    <w:rsid w:val="00C10F04"/>
    <w:rsid w:val="00C11AC4"/>
    <w:rsid w:val="00C11DBC"/>
    <w:rsid w:val="00C12532"/>
    <w:rsid w:val="00C13DF8"/>
    <w:rsid w:val="00C14C07"/>
    <w:rsid w:val="00C157AE"/>
    <w:rsid w:val="00C15BAF"/>
    <w:rsid w:val="00C15E68"/>
    <w:rsid w:val="00C15EBB"/>
    <w:rsid w:val="00C1682B"/>
    <w:rsid w:val="00C16CDA"/>
    <w:rsid w:val="00C17C66"/>
    <w:rsid w:val="00C202AE"/>
    <w:rsid w:val="00C20F60"/>
    <w:rsid w:val="00C215C5"/>
    <w:rsid w:val="00C21E41"/>
    <w:rsid w:val="00C225E9"/>
    <w:rsid w:val="00C22AAF"/>
    <w:rsid w:val="00C22F1E"/>
    <w:rsid w:val="00C22FFB"/>
    <w:rsid w:val="00C2361A"/>
    <w:rsid w:val="00C23A75"/>
    <w:rsid w:val="00C24477"/>
    <w:rsid w:val="00C2472D"/>
    <w:rsid w:val="00C2483D"/>
    <w:rsid w:val="00C24853"/>
    <w:rsid w:val="00C25207"/>
    <w:rsid w:val="00C25295"/>
    <w:rsid w:val="00C25405"/>
    <w:rsid w:val="00C25AAC"/>
    <w:rsid w:val="00C2792B"/>
    <w:rsid w:val="00C27BE4"/>
    <w:rsid w:val="00C30890"/>
    <w:rsid w:val="00C314A0"/>
    <w:rsid w:val="00C33A1E"/>
    <w:rsid w:val="00C33F00"/>
    <w:rsid w:val="00C347FF"/>
    <w:rsid w:val="00C34B3D"/>
    <w:rsid w:val="00C351CD"/>
    <w:rsid w:val="00C35601"/>
    <w:rsid w:val="00C3569B"/>
    <w:rsid w:val="00C357BE"/>
    <w:rsid w:val="00C35C62"/>
    <w:rsid w:val="00C36031"/>
    <w:rsid w:val="00C360C7"/>
    <w:rsid w:val="00C36553"/>
    <w:rsid w:val="00C36DBB"/>
    <w:rsid w:val="00C37C7A"/>
    <w:rsid w:val="00C40642"/>
    <w:rsid w:val="00C407EF"/>
    <w:rsid w:val="00C40D7E"/>
    <w:rsid w:val="00C41789"/>
    <w:rsid w:val="00C419B4"/>
    <w:rsid w:val="00C422FE"/>
    <w:rsid w:val="00C42436"/>
    <w:rsid w:val="00C432A4"/>
    <w:rsid w:val="00C438E8"/>
    <w:rsid w:val="00C446FE"/>
    <w:rsid w:val="00C44909"/>
    <w:rsid w:val="00C44B40"/>
    <w:rsid w:val="00C44B5C"/>
    <w:rsid w:val="00C4555E"/>
    <w:rsid w:val="00C457FA"/>
    <w:rsid w:val="00C4587C"/>
    <w:rsid w:val="00C45F3B"/>
    <w:rsid w:val="00C4629F"/>
    <w:rsid w:val="00C4636F"/>
    <w:rsid w:val="00C46E27"/>
    <w:rsid w:val="00C46F26"/>
    <w:rsid w:val="00C47037"/>
    <w:rsid w:val="00C47698"/>
    <w:rsid w:val="00C47D85"/>
    <w:rsid w:val="00C5065F"/>
    <w:rsid w:val="00C50DB6"/>
    <w:rsid w:val="00C513D8"/>
    <w:rsid w:val="00C51D74"/>
    <w:rsid w:val="00C524DB"/>
    <w:rsid w:val="00C527F3"/>
    <w:rsid w:val="00C5280A"/>
    <w:rsid w:val="00C5457E"/>
    <w:rsid w:val="00C54E9C"/>
    <w:rsid w:val="00C55C00"/>
    <w:rsid w:val="00C55E46"/>
    <w:rsid w:val="00C56D72"/>
    <w:rsid w:val="00C5766D"/>
    <w:rsid w:val="00C57C25"/>
    <w:rsid w:val="00C57CA9"/>
    <w:rsid w:val="00C609A8"/>
    <w:rsid w:val="00C60C0B"/>
    <w:rsid w:val="00C614E7"/>
    <w:rsid w:val="00C615B1"/>
    <w:rsid w:val="00C61F50"/>
    <w:rsid w:val="00C626F4"/>
    <w:rsid w:val="00C6271A"/>
    <w:rsid w:val="00C62D07"/>
    <w:rsid w:val="00C63C3F"/>
    <w:rsid w:val="00C6401A"/>
    <w:rsid w:val="00C64207"/>
    <w:rsid w:val="00C64945"/>
    <w:rsid w:val="00C64C21"/>
    <w:rsid w:val="00C659CB"/>
    <w:rsid w:val="00C66B25"/>
    <w:rsid w:val="00C66C0B"/>
    <w:rsid w:val="00C67E13"/>
    <w:rsid w:val="00C701A0"/>
    <w:rsid w:val="00C70991"/>
    <w:rsid w:val="00C70D10"/>
    <w:rsid w:val="00C71243"/>
    <w:rsid w:val="00C716A6"/>
    <w:rsid w:val="00C71783"/>
    <w:rsid w:val="00C718F1"/>
    <w:rsid w:val="00C7355C"/>
    <w:rsid w:val="00C7400B"/>
    <w:rsid w:val="00C7444D"/>
    <w:rsid w:val="00C744BD"/>
    <w:rsid w:val="00C75B50"/>
    <w:rsid w:val="00C75BE1"/>
    <w:rsid w:val="00C76752"/>
    <w:rsid w:val="00C76DF3"/>
    <w:rsid w:val="00C81E30"/>
    <w:rsid w:val="00C83DC9"/>
    <w:rsid w:val="00C8590C"/>
    <w:rsid w:val="00C85D75"/>
    <w:rsid w:val="00C86171"/>
    <w:rsid w:val="00C86427"/>
    <w:rsid w:val="00C8675E"/>
    <w:rsid w:val="00C86919"/>
    <w:rsid w:val="00C86BDF"/>
    <w:rsid w:val="00C900FA"/>
    <w:rsid w:val="00C9074A"/>
    <w:rsid w:val="00C91080"/>
    <w:rsid w:val="00C913B8"/>
    <w:rsid w:val="00C91885"/>
    <w:rsid w:val="00C91F92"/>
    <w:rsid w:val="00C92DC7"/>
    <w:rsid w:val="00C9307D"/>
    <w:rsid w:val="00C93EA7"/>
    <w:rsid w:val="00C93F31"/>
    <w:rsid w:val="00C9410A"/>
    <w:rsid w:val="00C9437B"/>
    <w:rsid w:val="00C9518F"/>
    <w:rsid w:val="00C952C9"/>
    <w:rsid w:val="00C961F0"/>
    <w:rsid w:val="00C9663F"/>
    <w:rsid w:val="00C966D4"/>
    <w:rsid w:val="00C96A29"/>
    <w:rsid w:val="00C9711E"/>
    <w:rsid w:val="00C9746A"/>
    <w:rsid w:val="00CA0936"/>
    <w:rsid w:val="00CA2047"/>
    <w:rsid w:val="00CA2662"/>
    <w:rsid w:val="00CA305C"/>
    <w:rsid w:val="00CA332F"/>
    <w:rsid w:val="00CA461C"/>
    <w:rsid w:val="00CA4A89"/>
    <w:rsid w:val="00CA509E"/>
    <w:rsid w:val="00CA536B"/>
    <w:rsid w:val="00CA55D9"/>
    <w:rsid w:val="00CA5B94"/>
    <w:rsid w:val="00CA5CE3"/>
    <w:rsid w:val="00CA66E5"/>
    <w:rsid w:val="00CA6B41"/>
    <w:rsid w:val="00CA71D7"/>
    <w:rsid w:val="00CA759D"/>
    <w:rsid w:val="00CA7BE1"/>
    <w:rsid w:val="00CB0E1A"/>
    <w:rsid w:val="00CB138C"/>
    <w:rsid w:val="00CB1C65"/>
    <w:rsid w:val="00CB2737"/>
    <w:rsid w:val="00CB2A13"/>
    <w:rsid w:val="00CB303E"/>
    <w:rsid w:val="00CB33DA"/>
    <w:rsid w:val="00CB3D69"/>
    <w:rsid w:val="00CB3F45"/>
    <w:rsid w:val="00CB4168"/>
    <w:rsid w:val="00CB4443"/>
    <w:rsid w:val="00CB4A17"/>
    <w:rsid w:val="00CB563D"/>
    <w:rsid w:val="00CB66D7"/>
    <w:rsid w:val="00CB7596"/>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8FF"/>
    <w:rsid w:val="00CD00BE"/>
    <w:rsid w:val="00CD10C2"/>
    <w:rsid w:val="00CD12B3"/>
    <w:rsid w:val="00CD23BA"/>
    <w:rsid w:val="00CD240F"/>
    <w:rsid w:val="00CD2F67"/>
    <w:rsid w:val="00CD2FBD"/>
    <w:rsid w:val="00CD35FB"/>
    <w:rsid w:val="00CD3CDB"/>
    <w:rsid w:val="00CD3F90"/>
    <w:rsid w:val="00CD5187"/>
    <w:rsid w:val="00CD538A"/>
    <w:rsid w:val="00CD601A"/>
    <w:rsid w:val="00CD6151"/>
    <w:rsid w:val="00CD6EAB"/>
    <w:rsid w:val="00CD72A6"/>
    <w:rsid w:val="00CD740E"/>
    <w:rsid w:val="00CD7DA0"/>
    <w:rsid w:val="00CE018F"/>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7FE"/>
    <w:rsid w:val="00CE6EBB"/>
    <w:rsid w:val="00CE7091"/>
    <w:rsid w:val="00CE7247"/>
    <w:rsid w:val="00CF012D"/>
    <w:rsid w:val="00CF0211"/>
    <w:rsid w:val="00CF0B3D"/>
    <w:rsid w:val="00CF18DD"/>
    <w:rsid w:val="00CF19C2"/>
    <w:rsid w:val="00CF3581"/>
    <w:rsid w:val="00CF4D41"/>
    <w:rsid w:val="00CF6160"/>
    <w:rsid w:val="00CF6C2D"/>
    <w:rsid w:val="00CF7038"/>
    <w:rsid w:val="00CF7488"/>
    <w:rsid w:val="00CF7A47"/>
    <w:rsid w:val="00CF7B6D"/>
    <w:rsid w:val="00CF7C6F"/>
    <w:rsid w:val="00CF7D22"/>
    <w:rsid w:val="00CF7DD7"/>
    <w:rsid w:val="00D004A3"/>
    <w:rsid w:val="00D00A7E"/>
    <w:rsid w:val="00D00B94"/>
    <w:rsid w:val="00D015D2"/>
    <w:rsid w:val="00D02D40"/>
    <w:rsid w:val="00D02FC9"/>
    <w:rsid w:val="00D03064"/>
    <w:rsid w:val="00D03CDC"/>
    <w:rsid w:val="00D03DA5"/>
    <w:rsid w:val="00D041BB"/>
    <w:rsid w:val="00D04844"/>
    <w:rsid w:val="00D05387"/>
    <w:rsid w:val="00D055FF"/>
    <w:rsid w:val="00D05F6D"/>
    <w:rsid w:val="00D06289"/>
    <w:rsid w:val="00D066A8"/>
    <w:rsid w:val="00D06830"/>
    <w:rsid w:val="00D07070"/>
    <w:rsid w:val="00D07284"/>
    <w:rsid w:val="00D074CF"/>
    <w:rsid w:val="00D07EF0"/>
    <w:rsid w:val="00D1024F"/>
    <w:rsid w:val="00D103AF"/>
    <w:rsid w:val="00D1097B"/>
    <w:rsid w:val="00D10BA7"/>
    <w:rsid w:val="00D110CA"/>
    <w:rsid w:val="00D11F4A"/>
    <w:rsid w:val="00D12B19"/>
    <w:rsid w:val="00D13FCD"/>
    <w:rsid w:val="00D14649"/>
    <w:rsid w:val="00D14E32"/>
    <w:rsid w:val="00D14E6F"/>
    <w:rsid w:val="00D1557B"/>
    <w:rsid w:val="00D15B9F"/>
    <w:rsid w:val="00D1684A"/>
    <w:rsid w:val="00D16D10"/>
    <w:rsid w:val="00D1755F"/>
    <w:rsid w:val="00D17D13"/>
    <w:rsid w:val="00D20FC9"/>
    <w:rsid w:val="00D21422"/>
    <w:rsid w:val="00D21C78"/>
    <w:rsid w:val="00D21E5E"/>
    <w:rsid w:val="00D2226A"/>
    <w:rsid w:val="00D230CD"/>
    <w:rsid w:val="00D23649"/>
    <w:rsid w:val="00D241BB"/>
    <w:rsid w:val="00D243ED"/>
    <w:rsid w:val="00D244FB"/>
    <w:rsid w:val="00D253AA"/>
    <w:rsid w:val="00D25E0F"/>
    <w:rsid w:val="00D2642C"/>
    <w:rsid w:val="00D26825"/>
    <w:rsid w:val="00D2686E"/>
    <w:rsid w:val="00D26892"/>
    <w:rsid w:val="00D2725C"/>
    <w:rsid w:val="00D27ABE"/>
    <w:rsid w:val="00D3001A"/>
    <w:rsid w:val="00D30437"/>
    <w:rsid w:val="00D30681"/>
    <w:rsid w:val="00D306FE"/>
    <w:rsid w:val="00D3079F"/>
    <w:rsid w:val="00D30B89"/>
    <w:rsid w:val="00D30CA5"/>
    <w:rsid w:val="00D315FF"/>
    <w:rsid w:val="00D317E9"/>
    <w:rsid w:val="00D318B0"/>
    <w:rsid w:val="00D31A83"/>
    <w:rsid w:val="00D31A98"/>
    <w:rsid w:val="00D32C97"/>
    <w:rsid w:val="00D338A5"/>
    <w:rsid w:val="00D33C4C"/>
    <w:rsid w:val="00D33CE7"/>
    <w:rsid w:val="00D3417F"/>
    <w:rsid w:val="00D341DE"/>
    <w:rsid w:val="00D3434F"/>
    <w:rsid w:val="00D35241"/>
    <w:rsid w:val="00D36A29"/>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685"/>
    <w:rsid w:val="00D437A5"/>
    <w:rsid w:val="00D443C7"/>
    <w:rsid w:val="00D44813"/>
    <w:rsid w:val="00D44BDA"/>
    <w:rsid w:val="00D450D0"/>
    <w:rsid w:val="00D457C9"/>
    <w:rsid w:val="00D465A4"/>
    <w:rsid w:val="00D46BBE"/>
    <w:rsid w:val="00D46DC5"/>
    <w:rsid w:val="00D46E2F"/>
    <w:rsid w:val="00D47742"/>
    <w:rsid w:val="00D47AF4"/>
    <w:rsid w:val="00D47E80"/>
    <w:rsid w:val="00D47F97"/>
    <w:rsid w:val="00D500D5"/>
    <w:rsid w:val="00D502E2"/>
    <w:rsid w:val="00D50DE8"/>
    <w:rsid w:val="00D50DF9"/>
    <w:rsid w:val="00D510DA"/>
    <w:rsid w:val="00D51790"/>
    <w:rsid w:val="00D51A52"/>
    <w:rsid w:val="00D51F02"/>
    <w:rsid w:val="00D51F23"/>
    <w:rsid w:val="00D5202B"/>
    <w:rsid w:val="00D522CD"/>
    <w:rsid w:val="00D53585"/>
    <w:rsid w:val="00D5365D"/>
    <w:rsid w:val="00D53B5F"/>
    <w:rsid w:val="00D5434B"/>
    <w:rsid w:val="00D5489D"/>
    <w:rsid w:val="00D5519A"/>
    <w:rsid w:val="00D55B20"/>
    <w:rsid w:val="00D56684"/>
    <w:rsid w:val="00D56CFD"/>
    <w:rsid w:val="00D604AE"/>
    <w:rsid w:val="00D60869"/>
    <w:rsid w:val="00D608A0"/>
    <w:rsid w:val="00D6097D"/>
    <w:rsid w:val="00D609CB"/>
    <w:rsid w:val="00D618BB"/>
    <w:rsid w:val="00D61D13"/>
    <w:rsid w:val="00D622A7"/>
    <w:rsid w:val="00D62D5D"/>
    <w:rsid w:val="00D632AD"/>
    <w:rsid w:val="00D6337A"/>
    <w:rsid w:val="00D63B7D"/>
    <w:rsid w:val="00D63D0B"/>
    <w:rsid w:val="00D64410"/>
    <w:rsid w:val="00D64CD1"/>
    <w:rsid w:val="00D65305"/>
    <w:rsid w:val="00D655C1"/>
    <w:rsid w:val="00D65BE7"/>
    <w:rsid w:val="00D65DA3"/>
    <w:rsid w:val="00D66A67"/>
    <w:rsid w:val="00D66DA1"/>
    <w:rsid w:val="00D67331"/>
    <w:rsid w:val="00D67524"/>
    <w:rsid w:val="00D6770D"/>
    <w:rsid w:val="00D67764"/>
    <w:rsid w:val="00D67904"/>
    <w:rsid w:val="00D67CD9"/>
    <w:rsid w:val="00D70B5E"/>
    <w:rsid w:val="00D70F12"/>
    <w:rsid w:val="00D71C83"/>
    <w:rsid w:val="00D72477"/>
    <w:rsid w:val="00D72A39"/>
    <w:rsid w:val="00D73C40"/>
    <w:rsid w:val="00D73C82"/>
    <w:rsid w:val="00D7458A"/>
    <w:rsid w:val="00D74656"/>
    <w:rsid w:val="00D75B54"/>
    <w:rsid w:val="00D76773"/>
    <w:rsid w:val="00D76F8C"/>
    <w:rsid w:val="00D77036"/>
    <w:rsid w:val="00D77857"/>
    <w:rsid w:val="00D77FA0"/>
    <w:rsid w:val="00D80A12"/>
    <w:rsid w:val="00D8160E"/>
    <w:rsid w:val="00D8182E"/>
    <w:rsid w:val="00D82325"/>
    <w:rsid w:val="00D8251F"/>
    <w:rsid w:val="00D825C9"/>
    <w:rsid w:val="00D82B54"/>
    <w:rsid w:val="00D83191"/>
    <w:rsid w:val="00D8325D"/>
    <w:rsid w:val="00D83434"/>
    <w:rsid w:val="00D83D15"/>
    <w:rsid w:val="00D8533F"/>
    <w:rsid w:val="00D86163"/>
    <w:rsid w:val="00D866F6"/>
    <w:rsid w:val="00D86CF6"/>
    <w:rsid w:val="00D87086"/>
    <w:rsid w:val="00D870BC"/>
    <w:rsid w:val="00D8788C"/>
    <w:rsid w:val="00D87C26"/>
    <w:rsid w:val="00D87D89"/>
    <w:rsid w:val="00D9068E"/>
    <w:rsid w:val="00D9073A"/>
    <w:rsid w:val="00D909A5"/>
    <w:rsid w:val="00D91150"/>
    <w:rsid w:val="00D91814"/>
    <w:rsid w:val="00D91B17"/>
    <w:rsid w:val="00D93E58"/>
    <w:rsid w:val="00D93F83"/>
    <w:rsid w:val="00D94C93"/>
    <w:rsid w:val="00D95212"/>
    <w:rsid w:val="00D9543D"/>
    <w:rsid w:val="00D979D3"/>
    <w:rsid w:val="00DA018C"/>
    <w:rsid w:val="00DA02E9"/>
    <w:rsid w:val="00DA0833"/>
    <w:rsid w:val="00DA0B76"/>
    <w:rsid w:val="00DA2143"/>
    <w:rsid w:val="00DA242A"/>
    <w:rsid w:val="00DA24B2"/>
    <w:rsid w:val="00DA2953"/>
    <w:rsid w:val="00DA3382"/>
    <w:rsid w:val="00DA42EE"/>
    <w:rsid w:val="00DA4C8F"/>
    <w:rsid w:val="00DA52EC"/>
    <w:rsid w:val="00DA52F9"/>
    <w:rsid w:val="00DA5C94"/>
    <w:rsid w:val="00DA5EB4"/>
    <w:rsid w:val="00DA6241"/>
    <w:rsid w:val="00DB0AD4"/>
    <w:rsid w:val="00DB0BA2"/>
    <w:rsid w:val="00DB0FA5"/>
    <w:rsid w:val="00DB161C"/>
    <w:rsid w:val="00DB1B7E"/>
    <w:rsid w:val="00DB2657"/>
    <w:rsid w:val="00DB2836"/>
    <w:rsid w:val="00DB2A2C"/>
    <w:rsid w:val="00DB3C8D"/>
    <w:rsid w:val="00DB3DBF"/>
    <w:rsid w:val="00DB405B"/>
    <w:rsid w:val="00DB4A2A"/>
    <w:rsid w:val="00DB4B0C"/>
    <w:rsid w:val="00DB5001"/>
    <w:rsid w:val="00DB5453"/>
    <w:rsid w:val="00DB5F71"/>
    <w:rsid w:val="00DB6414"/>
    <w:rsid w:val="00DB7A1F"/>
    <w:rsid w:val="00DC0385"/>
    <w:rsid w:val="00DC0631"/>
    <w:rsid w:val="00DC097C"/>
    <w:rsid w:val="00DC1476"/>
    <w:rsid w:val="00DC19A2"/>
    <w:rsid w:val="00DC2685"/>
    <w:rsid w:val="00DC2CCC"/>
    <w:rsid w:val="00DC38ED"/>
    <w:rsid w:val="00DC40C2"/>
    <w:rsid w:val="00DC47E5"/>
    <w:rsid w:val="00DC66F8"/>
    <w:rsid w:val="00DC6F8F"/>
    <w:rsid w:val="00DC7ACC"/>
    <w:rsid w:val="00DC7CDF"/>
    <w:rsid w:val="00DC7D20"/>
    <w:rsid w:val="00DC7E22"/>
    <w:rsid w:val="00DD02FA"/>
    <w:rsid w:val="00DD1A45"/>
    <w:rsid w:val="00DD1F37"/>
    <w:rsid w:val="00DD22FB"/>
    <w:rsid w:val="00DD29AD"/>
    <w:rsid w:val="00DD3EFA"/>
    <w:rsid w:val="00DD4100"/>
    <w:rsid w:val="00DD4A55"/>
    <w:rsid w:val="00DD75F1"/>
    <w:rsid w:val="00DE00C0"/>
    <w:rsid w:val="00DE064E"/>
    <w:rsid w:val="00DE1024"/>
    <w:rsid w:val="00DE1242"/>
    <w:rsid w:val="00DE1335"/>
    <w:rsid w:val="00DE1FEF"/>
    <w:rsid w:val="00DE237E"/>
    <w:rsid w:val="00DE24F0"/>
    <w:rsid w:val="00DE2833"/>
    <w:rsid w:val="00DE29C2"/>
    <w:rsid w:val="00DE302F"/>
    <w:rsid w:val="00DE3485"/>
    <w:rsid w:val="00DE36E2"/>
    <w:rsid w:val="00DE3B3F"/>
    <w:rsid w:val="00DE3DCB"/>
    <w:rsid w:val="00DE4435"/>
    <w:rsid w:val="00DE44BF"/>
    <w:rsid w:val="00DE47A9"/>
    <w:rsid w:val="00DE5BF4"/>
    <w:rsid w:val="00DE5D23"/>
    <w:rsid w:val="00DE5D84"/>
    <w:rsid w:val="00DE5F5E"/>
    <w:rsid w:val="00DE7170"/>
    <w:rsid w:val="00DE7535"/>
    <w:rsid w:val="00DE78D8"/>
    <w:rsid w:val="00DF0F86"/>
    <w:rsid w:val="00DF12EB"/>
    <w:rsid w:val="00DF1449"/>
    <w:rsid w:val="00DF229E"/>
    <w:rsid w:val="00DF2A90"/>
    <w:rsid w:val="00DF2CB0"/>
    <w:rsid w:val="00DF329A"/>
    <w:rsid w:val="00DF331D"/>
    <w:rsid w:val="00DF38A7"/>
    <w:rsid w:val="00DF3BB8"/>
    <w:rsid w:val="00DF3DB9"/>
    <w:rsid w:val="00DF3E55"/>
    <w:rsid w:val="00DF42DA"/>
    <w:rsid w:val="00DF45EB"/>
    <w:rsid w:val="00DF470E"/>
    <w:rsid w:val="00DF4BA9"/>
    <w:rsid w:val="00DF52E3"/>
    <w:rsid w:val="00DF5E3C"/>
    <w:rsid w:val="00DF6114"/>
    <w:rsid w:val="00DF6868"/>
    <w:rsid w:val="00E000DB"/>
    <w:rsid w:val="00E00488"/>
    <w:rsid w:val="00E00AAE"/>
    <w:rsid w:val="00E0289B"/>
    <w:rsid w:val="00E028E7"/>
    <w:rsid w:val="00E02A7B"/>
    <w:rsid w:val="00E03396"/>
    <w:rsid w:val="00E03E25"/>
    <w:rsid w:val="00E04037"/>
    <w:rsid w:val="00E043BF"/>
    <w:rsid w:val="00E044E6"/>
    <w:rsid w:val="00E05DAC"/>
    <w:rsid w:val="00E05F95"/>
    <w:rsid w:val="00E0647C"/>
    <w:rsid w:val="00E11454"/>
    <w:rsid w:val="00E11614"/>
    <w:rsid w:val="00E11DA2"/>
    <w:rsid w:val="00E1260A"/>
    <w:rsid w:val="00E12A9E"/>
    <w:rsid w:val="00E13801"/>
    <w:rsid w:val="00E13B53"/>
    <w:rsid w:val="00E13FFE"/>
    <w:rsid w:val="00E1539C"/>
    <w:rsid w:val="00E15C18"/>
    <w:rsid w:val="00E15D39"/>
    <w:rsid w:val="00E15FC0"/>
    <w:rsid w:val="00E163B8"/>
    <w:rsid w:val="00E1741C"/>
    <w:rsid w:val="00E1785C"/>
    <w:rsid w:val="00E20815"/>
    <w:rsid w:val="00E2100B"/>
    <w:rsid w:val="00E21477"/>
    <w:rsid w:val="00E21E81"/>
    <w:rsid w:val="00E22A1A"/>
    <w:rsid w:val="00E22ED9"/>
    <w:rsid w:val="00E244C6"/>
    <w:rsid w:val="00E24565"/>
    <w:rsid w:val="00E25A96"/>
    <w:rsid w:val="00E25E0F"/>
    <w:rsid w:val="00E301E9"/>
    <w:rsid w:val="00E3049A"/>
    <w:rsid w:val="00E30D47"/>
    <w:rsid w:val="00E310A0"/>
    <w:rsid w:val="00E311A7"/>
    <w:rsid w:val="00E31349"/>
    <w:rsid w:val="00E318A5"/>
    <w:rsid w:val="00E31CE3"/>
    <w:rsid w:val="00E333C5"/>
    <w:rsid w:val="00E338FE"/>
    <w:rsid w:val="00E34B6D"/>
    <w:rsid w:val="00E36443"/>
    <w:rsid w:val="00E366FD"/>
    <w:rsid w:val="00E374FB"/>
    <w:rsid w:val="00E3770D"/>
    <w:rsid w:val="00E3795E"/>
    <w:rsid w:val="00E3795F"/>
    <w:rsid w:val="00E40100"/>
    <w:rsid w:val="00E4075B"/>
    <w:rsid w:val="00E40A34"/>
    <w:rsid w:val="00E41311"/>
    <w:rsid w:val="00E418E6"/>
    <w:rsid w:val="00E41E47"/>
    <w:rsid w:val="00E4293A"/>
    <w:rsid w:val="00E430E1"/>
    <w:rsid w:val="00E437A7"/>
    <w:rsid w:val="00E4380F"/>
    <w:rsid w:val="00E43F8B"/>
    <w:rsid w:val="00E4415E"/>
    <w:rsid w:val="00E44416"/>
    <w:rsid w:val="00E4442E"/>
    <w:rsid w:val="00E44A07"/>
    <w:rsid w:val="00E44D93"/>
    <w:rsid w:val="00E4511B"/>
    <w:rsid w:val="00E453E5"/>
    <w:rsid w:val="00E45745"/>
    <w:rsid w:val="00E45A5A"/>
    <w:rsid w:val="00E46232"/>
    <w:rsid w:val="00E46975"/>
    <w:rsid w:val="00E46C71"/>
    <w:rsid w:val="00E46FF7"/>
    <w:rsid w:val="00E474EB"/>
    <w:rsid w:val="00E47557"/>
    <w:rsid w:val="00E47D53"/>
    <w:rsid w:val="00E503D6"/>
    <w:rsid w:val="00E50D6A"/>
    <w:rsid w:val="00E50DA2"/>
    <w:rsid w:val="00E5189B"/>
    <w:rsid w:val="00E51CB1"/>
    <w:rsid w:val="00E526D8"/>
    <w:rsid w:val="00E539DD"/>
    <w:rsid w:val="00E53F8E"/>
    <w:rsid w:val="00E5457E"/>
    <w:rsid w:val="00E54951"/>
    <w:rsid w:val="00E54AF6"/>
    <w:rsid w:val="00E54B96"/>
    <w:rsid w:val="00E54BD6"/>
    <w:rsid w:val="00E550A4"/>
    <w:rsid w:val="00E553C4"/>
    <w:rsid w:val="00E5548C"/>
    <w:rsid w:val="00E56122"/>
    <w:rsid w:val="00E563FF"/>
    <w:rsid w:val="00E56418"/>
    <w:rsid w:val="00E564B7"/>
    <w:rsid w:val="00E575FA"/>
    <w:rsid w:val="00E608E2"/>
    <w:rsid w:val="00E609B0"/>
    <w:rsid w:val="00E6141A"/>
    <w:rsid w:val="00E6194F"/>
    <w:rsid w:val="00E61DFC"/>
    <w:rsid w:val="00E62D9C"/>
    <w:rsid w:val="00E649E3"/>
    <w:rsid w:val="00E6529B"/>
    <w:rsid w:val="00E652A8"/>
    <w:rsid w:val="00E6633A"/>
    <w:rsid w:val="00E66354"/>
    <w:rsid w:val="00E67156"/>
    <w:rsid w:val="00E67F37"/>
    <w:rsid w:val="00E70098"/>
    <w:rsid w:val="00E70643"/>
    <w:rsid w:val="00E70E72"/>
    <w:rsid w:val="00E71098"/>
    <w:rsid w:val="00E71A2E"/>
    <w:rsid w:val="00E72179"/>
    <w:rsid w:val="00E73EB0"/>
    <w:rsid w:val="00E74183"/>
    <w:rsid w:val="00E74A85"/>
    <w:rsid w:val="00E74CED"/>
    <w:rsid w:val="00E75532"/>
    <w:rsid w:val="00E76C11"/>
    <w:rsid w:val="00E76FE2"/>
    <w:rsid w:val="00E8031A"/>
    <w:rsid w:val="00E80B8A"/>
    <w:rsid w:val="00E8131C"/>
    <w:rsid w:val="00E816C4"/>
    <w:rsid w:val="00E81B38"/>
    <w:rsid w:val="00E81D86"/>
    <w:rsid w:val="00E83157"/>
    <w:rsid w:val="00E833C7"/>
    <w:rsid w:val="00E8396C"/>
    <w:rsid w:val="00E83C0A"/>
    <w:rsid w:val="00E83CB8"/>
    <w:rsid w:val="00E84A23"/>
    <w:rsid w:val="00E8548C"/>
    <w:rsid w:val="00E856FE"/>
    <w:rsid w:val="00E85897"/>
    <w:rsid w:val="00E8647C"/>
    <w:rsid w:val="00E865C5"/>
    <w:rsid w:val="00E87EC1"/>
    <w:rsid w:val="00E901E0"/>
    <w:rsid w:val="00E915FD"/>
    <w:rsid w:val="00E92C40"/>
    <w:rsid w:val="00E93C40"/>
    <w:rsid w:val="00E957F0"/>
    <w:rsid w:val="00E960C1"/>
    <w:rsid w:val="00E96D66"/>
    <w:rsid w:val="00E96EE7"/>
    <w:rsid w:val="00E96F15"/>
    <w:rsid w:val="00E97BC3"/>
    <w:rsid w:val="00EA044F"/>
    <w:rsid w:val="00EA09B8"/>
    <w:rsid w:val="00EA116D"/>
    <w:rsid w:val="00EA1447"/>
    <w:rsid w:val="00EA28FF"/>
    <w:rsid w:val="00EA3FA8"/>
    <w:rsid w:val="00EA4BEE"/>
    <w:rsid w:val="00EA53A5"/>
    <w:rsid w:val="00EA5412"/>
    <w:rsid w:val="00EA5CBA"/>
    <w:rsid w:val="00EA5FB1"/>
    <w:rsid w:val="00EA5FCC"/>
    <w:rsid w:val="00EA61DC"/>
    <w:rsid w:val="00EA6E2F"/>
    <w:rsid w:val="00EA700B"/>
    <w:rsid w:val="00EA7423"/>
    <w:rsid w:val="00EB07BF"/>
    <w:rsid w:val="00EB1241"/>
    <w:rsid w:val="00EB1B5A"/>
    <w:rsid w:val="00EB3633"/>
    <w:rsid w:val="00EB3F9F"/>
    <w:rsid w:val="00EB401F"/>
    <w:rsid w:val="00EB42C1"/>
    <w:rsid w:val="00EB4400"/>
    <w:rsid w:val="00EB4506"/>
    <w:rsid w:val="00EB46C3"/>
    <w:rsid w:val="00EB579E"/>
    <w:rsid w:val="00EB6087"/>
    <w:rsid w:val="00EB63E8"/>
    <w:rsid w:val="00EB7526"/>
    <w:rsid w:val="00EB7DEB"/>
    <w:rsid w:val="00EC07A5"/>
    <w:rsid w:val="00EC0EF3"/>
    <w:rsid w:val="00EC17F5"/>
    <w:rsid w:val="00EC1871"/>
    <w:rsid w:val="00EC1A5E"/>
    <w:rsid w:val="00EC1B71"/>
    <w:rsid w:val="00EC1E28"/>
    <w:rsid w:val="00EC2549"/>
    <w:rsid w:val="00EC2618"/>
    <w:rsid w:val="00EC38EC"/>
    <w:rsid w:val="00EC3AD1"/>
    <w:rsid w:val="00EC3D50"/>
    <w:rsid w:val="00EC3F08"/>
    <w:rsid w:val="00EC4F2C"/>
    <w:rsid w:val="00EC51F0"/>
    <w:rsid w:val="00EC5566"/>
    <w:rsid w:val="00EC57F2"/>
    <w:rsid w:val="00EC5EAE"/>
    <w:rsid w:val="00EC6254"/>
    <w:rsid w:val="00EC64EA"/>
    <w:rsid w:val="00EC67F6"/>
    <w:rsid w:val="00EC6866"/>
    <w:rsid w:val="00EC6931"/>
    <w:rsid w:val="00EC7C56"/>
    <w:rsid w:val="00EC7E96"/>
    <w:rsid w:val="00ED06AE"/>
    <w:rsid w:val="00ED080D"/>
    <w:rsid w:val="00ED1331"/>
    <w:rsid w:val="00ED14D9"/>
    <w:rsid w:val="00ED3399"/>
    <w:rsid w:val="00ED3A16"/>
    <w:rsid w:val="00ED3A2C"/>
    <w:rsid w:val="00ED3D56"/>
    <w:rsid w:val="00ED3D82"/>
    <w:rsid w:val="00ED4056"/>
    <w:rsid w:val="00ED53AF"/>
    <w:rsid w:val="00ED5A72"/>
    <w:rsid w:val="00ED5B1B"/>
    <w:rsid w:val="00ED6501"/>
    <w:rsid w:val="00ED67BA"/>
    <w:rsid w:val="00ED7066"/>
    <w:rsid w:val="00ED77B7"/>
    <w:rsid w:val="00EE04BA"/>
    <w:rsid w:val="00EE07E3"/>
    <w:rsid w:val="00EE07F7"/>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7AF"/>
    <w:rsid w:val="00EF2C44"/>
    <w:rsid w:val="00EF2FC2"/>
    <w:rsid w:val="00EF37C3"/>
    <w:rsid w:val="00EF3BE5"/>
    <w:rsid w:val="00EF4E82"/>
    <w:rsid w:val="00EF5E58"/>
    <w:rsid w:val="00EF6654"/>
    <w:rsid w:val="00EF6AA8"/>
    <w:rsid w:val="00EF70EE"/>
    <w:rsid w:val="00EF726E"/>
    <w:rsid w:val="00EF764A"/>
    <w:rsid w:val="00EF76BC"/>
    <w:rsid w:val="00EF7CF9"/>
    <w:rsid w:val="00F00113"/>
    <w:rsid w:val="00F00DCA"/>
    <w:rsid w:val="00F01038"/>
    <w:rsid w:val="00F01ED6"/>
    <w:rsid w:val="00F0284F"/>
    <w:rsid w:val="00F03925"/>
    <w:rsid w:val="00F03BB9"/>
    <w:rsid w:val="00F047A8"/>
    <w:rsid w:val="00F06310"/>
    <w:rsid w:val="00F06A37"/>
    <w:rsid w:val="00F06C94"/>
    <w:rsid w:val="00F06D44"/>
    <w:rsid w:val="00F07542"/>
    <w:rsid w:val="00F07B0C"/>
    <w:rsid w:val="00F10723"/>
    <w:rsid w:val="00F111B2"/>
    <w:rsid w:val="00F11336"/>
    <w:rsid w:val="00F11719"/>
    <w:rsid w:val="00F1192B"/>
    <w:rsid w:val="00F11B17"/>
    <w:rsid w:val="00F12492"/>
    <w:rsid w:val="00F12ED9"/>
    <w:rsid w:val="00F131AB"/>
    <w:rsid w:val="00F13330"/>
    <w:rsid w:val="00F148E4"/>
    <w:rsid w:val="00F14ACF"/>
    <w:rsid w:val="00F151AE"/>
    <w:rsid w:val="00F16390"/>
    <w:rsid w:val="00F1654C"/>
    <w:rsid w:val="00F166D0"/>
    <w:rsid w:val="00F17C77"/>
    <w:rsid w:val="00F17F7A"/>
    <w:rsid w:val="00F2068A"/>
    <w:rsid w:val="00F20AFE"/>
    <w:rsid w:val="00F215C9"/>
    <w:rsid w:val="00F219BA"/>
    <w:rsid w:val="00F21BFC"/>
    <w:rsid w:val="00F21E07"/>
    <w:rsid w:val="00F21F65"/>
    <w:rsid w:val="00F22455"/>
    <w:rsid w:val="00F23557"/>
    <w:rsid w:val="00F23B07"/>
    <w:rsid w:val="00F240D4"/>
    <w:rsid w:val="00F25E06"/>
    <w:rsid w:val="00F25FD1"/>
    <w:rsid w:val="00F2636E"/>
    <w:rsid w:val="00F26938"/>
    <w:rsid w:val="00F26BF1"/>
    <w:rsid w:val="00F271E1"/>
    <w:rsid w:val="00F27944"/>
    <w:rsid w:val="00F27966"/>
    <w:rsid w:val="00F27C5D"/>
    <w:rsid w:val="00F3017D"/>
    <w:rsid w:val="00F306FC"/>
    <w:rsid w:val="00F30E8F"/>
    <w:rsid w:val="00F30FB3"/>
    <w:rsid w:val="00F30FD2"/>
    <w:rsid w:val="00F31029"/>
    <w:rsid w:val="00F31F6E"/>
    <w:rsid w:val="00F31F97"/>
    <w:rsid w:val="00F324B8"/>
    <w:rsid w:val="00F3261B"/>
    <w:rsid w:val="00F32697"/>
    <w:rsid w:val="00F32AEC"/>
    <w:rsid w:val="00F32BAA"/>
    <w:rsid w:val="00F33D73"/>
    <w:rsid w:val="00F33FCB"/>
    <w:rsid w:val="00F34FEB"/>
    <w:rsid w:val="00F359A7"/>
    <w:rsid w:val="00F359AF"/>
    <w:rsid w:val="00F35F6F"/>
    <w:rsid w:val="00F364BF"/>
    <w:rsid w:val="00F3669D"/>
    <w:rsid w:val="00F37CAF"/>
    <w:rsid w:val="00F37D2E"/>
    <w:rsid w:val="00F41EBE"/>
    <w:rsid w:val="00F4260E"/>
    <w:rsid w:val="00F43933"/>
    <w:rsid w:val="00F44E86"/>
    <w:rsid w:val="00F4500B"/>
    <w:rsid w:val="00F4592A"/>
    <w:rsid w:val="00F45DF2"/>
    <w:rsid w:val="00F45E67"/>
    <w:rsid w:val="00F46E5A"/>
    <w:rsid w:val="00F47B10"/>
    <w:rsid w:val="00F501B1"/>
    <w:rsid w:val="00F5268E"/>
    <w:rsid w:val="00F52BD7"/>
    <w:rsid w:val="00F53A36"/>
    <w:rsid w:val="00F5471E"/>
    <w:rsid w:val="00F54ACA"/>
    <w:rsid w:val="00F55590"/>
    <w:rsid w:val="00F55BA6"/>
    <w:rsid w:val="00F55ECE"/>
    <w:rsid w:val="00F5696E"/>
    <w:rsid w:val="00F56E2C"/>
    <w:rsid w:val="00F575B8"/>
    <w:rsid w:val="00F575DA"/>
    <w:rsid w:val="00F578AB"/>
    <w:rsid w:val="00F579D4"/>
    <w:rsid w:val="00F57EB9"/>
    <w:rsid w:val="00F57FBD"/>
    <w:rsid w:val="00F601F4"/>
    <w:rsid w:val="00F6028C"/>
    <w:rsid w:val="00F6031E"/>
    <w:rsid w:val="00F603D6"/>
    <w:rsid w:val="00F617BB"/>
    <w:rsid w:val="00F61A85"/>
    <w:rsid w:val="00F638CE"/>
    <w:rsid w:val="00F643EA"/>
    <w:rsid w:val="00F64628"/>
    <w:rsid w:val="00F6521D"/>
    <w:rsid w:val="00F65AC1"/>
    <w:rsid w:val="00F66206"/>
    <w:rsid w:val="00F664B8"/>
    <w:rsid w:val="00F66A13"/>
    <w:rsid w:val="00F66EA1"/>
    <w:rsid w:val="00F66EFA"/>
    <w:rsid w:val="00F67265"/>
    <w:rsid w:val="00F704A8"/>
    <w:rsid w:val="00F706D2"/>
    <w:rsid w:val="00F71AD3"/>
    <w:rsid w:val="00F71C8E"/>
    <w:rsid w:val="00F72194"/>
    <w:rsid w:val="00F7282F"/>
    <w:rsid w:val="00F72CC2"/>
    <w:rsid w:val="00F7347E"/>
    <w:rsid w:val="00F734A8"/>
    <w:rsid w:val="00F73609"/>
    <w:rsid w:val="00F73F32"/>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B61"/>
    <w:rsid w:val="00F82DA2"/>
    <w:rsid w:val="00F82E18"/>
    <w:rsid w:val="00F84975"/>
    <w:rsid w:val="00F849AE"/>
    <w:rsid w:val="00F8533B"/>
    <w:rsid w:val="00F86874"/>
    <w:rsid w:val="00F868C9"/>
    <w:rsid w:val="00F86AAF"/>
    <w:rsid w:val="00F875F9"/>
    <w:rsid w:val="00F87D5A"/>
    <w:rsid w:val="00F9034B"/>
    <w:rsid w:val="00F905DC"/>
    <w:rsid w:val="00F9064F"/>
    <w:rsid w:val="00F90D7F"/>
    <w:rsid w:val="00F910AC"/>
    <w:rsid w:val="00F91892"/>
    <w:rsid w:val="00F92613"/>
    <w:rsid w:val="00F938A2"/>
    <w:rsid w:val="00F93EC8"/>
    <w:rsid w:val="00F944EC"/>
    <w:rsid w:val="00F94ECD"/>
    <w:rsid w:val="00F94EE1"/>
    <w:rsid w:val="00F954A6"/>
    <w:rsid w:val="00F967C5"/>
    <w:rsid w:val="00F97607"/>
    <w:rsid w:val="00F97681"/>
    <w:rsid w:val="00F9776A"/>
    <w:rsid w:val="00FA00BF"/>
    <w:rsid w:val="00FA05FF"/>
    <w:rsid w:val="00FA110B"/>
    <w:rsid w:val="00FA18B4"/>
    <w:rsid w:val="00FA2596"/>
    <w:rsid w:val="00FA2BAD"/>
    <w:rsid w:val="00FA2BFA"/>
    <w:rsid w:val="00FA2E4E"/>
    <w:rsid w:val="00FA3EEB"/>
    <w:rsid w:val="00FA4844"/>
    <w:rsid w:val="00FA4985"/>
    <w:rsid w:val="00FA5CC1"/>
    <w:rsid w:val="00FA682D"/>
    <w:rsid w:val="00FA691A"/>
    <w:rsid w:val="00FA69EA"/>
    <w:rsid w:val="00FA6E9B"/>
    <w:rsid w:val="00FA72EE"/>
    <w:rsid w:val="00FA74B2"/>
    <w:rsid w:val="00FB0A40"/>
    <w:rsid w:val="00FB0DBB"/>
    <w:rsid w:val="00FB1558"/>
    <w:rsid w:val="00FB1ECC"/>
    <w:rsid w:val="00FB2E57"/>
    <w:rsid w:val="00FB33DB"/>
    <w:rsid w:val="00FB3990"/>
    <w:rsid w:val="00FB5759"/>
    <w:rsid w:val="00FB5E33"/>
    <w:rsid w:val="00FB6373"/>
    <w:rsid w:val="00FB67A8"/>
    <w:rsid w:val="00FB719E"/>
    <w:rsid w:val="00FB7B75"/>
    <w:rsid w:val="00FB7D29"/>
    <w:rsid w:val="00FC035E"/>
    <w:rsid w:val="00FC0E4A"/>
    <w:rsid w:val="00FC0EEC"/>
    <w:rsid w:val="00FC1AB9"/>
    <w:rsid w:val="00FC1DF8"/>
    <w:rsid w:val="00FC28A9"/>
    <w:rsid w:val="00FC298D"/>
    <w:rsid w:val="00FC2B19"/>
    <w:rsid w:val="00FC2DA8"/>
    <w:rsid w:val="00FC34A4"/>
    <w:rsid w:val="00FC3DF4"/>
    <w:rsid w:val="00FC3FF1"/>
    <w:rsid w:val="00FC460F"/>
    <w:rsid w:val="00FC5FD2"/>
    <w:rsid w:val="00FC77E3"/>
    <w:rsid w:val="00FD16FB"/>
    <w:rsid w:val="00FD17DB"/>
    <w:rsid w:val="00FD1815"/>
    <w:rsid w:val="00FD2170"/>
    <w:rsid w:val="00FD2ABD"/>
    <w:rsid w:val="00FD2B4B"/>
    <w:rsid w:val="00FD3209"/>
    <w:rsid w:val="00FD3474"/>
    <w:rsid w:val="00FD34F8"/>
    <w:rsid w:val="00FD463A"/>
    <w:rsid w:val="00FD4A5C"/>
    <w:rsid w:val="00FD4F22"/>
    <w:rsid w:val="00FD4F89"/>
    <w:rsid w:val="00FD5737"/>
    <w:rsid w:val="00FD587A"/>
    <w:rsid w:val="00FD67D5"/>
    <w:rsid w:val="00FD6942"/>
    <w:rsid w:val="00FD6A5E"/>
    <w:rsid w:val="00FD6AB8"/>
    <w:rsid w:val="00FD6BB5"/>
    <w:rsid w:val="00FD7891"/>
    <w:rsid w:val="00FD7C04"/>
    <w:rsid w:val="00FE0079"/>
    <w:rsid w:val="00FE06B4"/>
    <w:rsid w:val="00FE081C"/>
    <w:rsid w:val="00FE0A91"/>
    <w:rsid w:val="00FE161B"/>
    <w:rsid w:val="00FE16CC"/>
    <w:rsid w:val="00FE1B61"/>
    <w:rsid w:val="00FE2401"/>
    <w:rsid w:val="00FE26E3"/>
    <w:rsid w:val="00FE3644"/>
    <w:rsid w:val="00FE3A87"/>
    <w:rsid w:val="00FE3DE1"/>
    <w:rsid w:val="00FE45CF"/>
    <w:rsid w:val="00FE5018"/>
    <w:rsid w:val="00FE58C7"/>
    <w:rsid w:val="00FE5AA9"/>
    <w:rsid w:val="00FE668A"/>
    <w:rsid w:val="00FE674F"/>
    <w:rsid w:val="00FE6D61"/>
    <w:rsid w:val="00FE7BCF"/>
    <w:rsid w:val="00FF08DB"/>
    <w:rsid w:val="00FF23BB"/>
    <w:rsid w:val="00FF2556"/>
    <w:rsid w:val="00FF3E89"/>
    <w:rsid w:val="00FF4139"/>
    <w:rsid w:val="00FF455E"/>
    <w:rsid w:val="00FF4808"/>
    <w:rsid w:val="00FF4B22"/>
    <w:rsid w:val="00FF4D5E"/>
    <w:rsid w:val="00FF6D96"/>
    <w:rsid w:val="00FF766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C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622DF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4442E"/>
    <w:rPr>
      <w:color w:val="605E5C"/>
      <w:shd w:val="clear" w:color="auto" w:fill="E1DFDD"/>
    </w:rPr>
  </w:style>
  <w:style w:type="character" w:styleId="UnresolvedMention">
    <w:name w:val="Unresolved Mention"/>
    <w:basedOn w:val="DefaultParagraphFont"/>
    <w:uiPriority w:val="99"/>
    <w:semiHidden/>
    <w:unhideWhenUsed/>
    <w:rsid w:val="008A1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footer" Target="footer6.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DA342-2103-4C42-A20F-BDE324D58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C04708-839B-4A82-B357-5D05A46C9E34}">
  <ds:schemaRefs>
    <ds:schemaRef ds:uri="http://schemas.microsoft.com/sharepoint/v3/contenttype/forms"/>
  </ds:schemaRefs>
</ds:datastoreItem>
</file>

<file path=customXml/itemProps3.xml><?xml version="1.0" encoding="utf-8"?>
<ds:datastoreItem xmlns:ds="http://schemas.openxmlformats.org/officeDocument/2006/customXml" ds:itemID="{BA652935-FCBC-461B-8124-7A5E97D845D6}">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5A3773C6-3475-4871-80C9-30780B00BAA1}">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115</Pages>
  <Words>63989</Words>
  <Characters>364741</Characters>
  <Application>Microsoft Office Word</Application>
  <DocSecurity>8</DocSecurity>
  <Lines>3039</Lines>
  <Paragraphs>855</Paragraphs>
  <ScaleCrop>false</ScaleCrop>
  <Company/>
  <LinksUpToDate>false</LinksUpToDate>
  <CharactersWithSpaces>427875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2024-01-09T00:05:00Z</dcterms:created>
  <dcterms:modified xsi:type="dcterms:W3CDTF">2024-11-14T21:38:00Z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